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405"/>
        <w:gridCol w:w="132"/>
        <w:gridCol w:w="2202"/>
        <w:gridCol w:w="211"/>
        <w:gridCol w:w="2122"/>
        <w:gridCol w:w="2334"/>
      </w:tblGrid>
      <w:tr w:rsidR="00EB0D04" w:rsidRPr="00EB0D04" w:rsidTr="00EB0D04">
        <w:trPr>
          <w:cantSplit/>
          <w:trHeight w:val="525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0D04" w:rsidRPr="00EB0D04" w:rsidRDefault="00EB0D04" w:rsidP="00EB0D04">
            <w:pPr>
              <w:pStyle w:val="Ttulo1"/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0D04"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 del Cargo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D04" w:rsidRPr="00EB0D04" w:rsidRDefault="00EB0D04" w:rsidP="00EB0D04">
            <w:pPr>
              <w:pStyle w:val="Ttulo1"/>
              <w:spacing w:before="80" w:after="8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B0D0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RECEPCIONISTA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D04" w:rsidRPr="00EB0D04" w:rsidRDefault="00EB0D04" w:rsidP="00EB0D04">
            <w:pPr>
              <w:pStyle w:val="Ttulo1"/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0D04">
              <w:rPr>
                <w:rFonts w:ascii="Arial" w:hAnsi="Arial" w:cs="Arial"/>
                <w:color w:val="000000" w:themeColor="text1"/>
                <w:sz w:val="20"/>
                <w:szCs w:val="20"/>
              </w:rPr>
              <w:t>Grupo Ocupacional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04" w:rsidRPr="00EB0D04" w:rsidRDefault="00EB0D04" w:rsidP="00EB0D04">
            <w:pPr>
              <w:pStyle w:val="Ttulo1"/>
              <w:spacing w:before="80" w:after="8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B0D0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Staff</w:t>
            </w:r>
          </w:p>
        </w:tc>
      </w:tr>
      <w:tr w:rsidR="00DB304D" w:rsidRPr="00AB2BED" w:rsidTr="00EB0D04">
        <w:trPr>
          <w:cantSplit/>
          <w:trHeight w:val="525"/>
        </w:trPr>
        <w:tc>
          <w:tcPr>
            <w:tcW w:w="9334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507D61" w:rsidRDefault="00DB304D" w:rsidP="00DB304D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DB304D" w:rsidRPr="00507D61" w:rsidTr="00EB0D04">
        <w:trPr>
          <w:cantSplit/>
          <w:trHeight w:val="406"/>
        </w:trPr>
        <w:tc>
          <w:tcPr>
            <w:tcW w:w="93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5327D9" w:rsidRDefault="00DB304D" w:rsidP="002258F2">
            <w:pPr>
              <w:spacing w:before="80" w:after="80"/>
              <w:ind w:right="57"/>
              <w:jc w:val="both"/>
              <w:rPr>
                <w:lang w:val="es-PE"/>
              </w:rPr>
            </w:pPr>
            <w:r w:rsidRPr="00AB2BED">
              <w:rPr>
                <w:rFonts w:cs="Arial"/>
                <w:lang w:val="es-PE"/>
              </w:rPr>
              <w:t>Asistir en</w:t>
            </w:r>
            <w:r w:rsidRPr="004651BC">
              <w:rPr>
                <w:rFonts w:cs="Arial"/>
                <w:lang w:val="pt-BR"/>
              </w:rPr>
              <w:t xml:space="preserve"> labores</w:t>
            </w:r>
            <w:r w:rsidRPr="00AB2BED">
              <w:rPr>
                <w:rFonts w:cs="Arial"/>
                <w:lang w:val="es-PE"/>
              </w:rPr>
              <w:t xml:space="preserve"> inherentes</w:t>
            </w:r>
            <w:r w:rsidRPr="004651BC">
              <w:rPr>
                <w:rFonts w:cs="Arial"/>
                <w:lang w:val="pt-BR"/>
              </w:rPr>
              <w:t xml:space="preserve"> de secretariado al Gerente General,</w:t>
            </w:r>
            <w:r w:rsidRPr="00AB2BED">
              <w:rPr>
                <w:rFonts w:cs="Arial"/>
                <w:lang w:val="es-PE"/>
              </w:rPr>
              <w:t xml:space="preserve"> atención</w:t>
            </w:r>
            <w:r w:rsidRPr="004651BC">
              <w:rPr>
                <w:rFonts w:cs="Arial"/>
                <w:lang w:val="pt-BR"/>
              </w:rPr>
              <w:t xml:space="preserve"> de</w:t>
            </w:r>
            <w:r w:rsidRPr="00AB2BED">
              <w:rPr>
                <w:rFonts w:cs="Arial"/>
                <w:lang w:val="es-PE"/>
              </w:rPr>
              <w:t xml:space="preserve"> las llamadas</w:t>
            </w:r>
            <w:r w:rsidRPr="004651BC">
              <w:rPr>
                <w:rFonts w:cs="Arial"/>
                <w:lang w:val="pt-BR"/>
              </w:rPr>
              <w:t xml:space="preserve"> que</w:t>
            </w:r>
            <w:r w:rsidRPr="00AB2BED">
              <w:rPr>
                <w:rFonts w:cs="Arial"/>
                <w:lang w:val="es-PE"/>
              </w:rPr>
              <w:t xml:space="preserve"> ingresan</w:t>
            </w:r>
            <w:r w:rsidRPr="004651BC">
              <w:rPr>
                <w:rFonts w:cs="Arial"/>
                <w:lang w:val="pt-BR"/>
              </w:rPr>
              <w:t xml:space="preserve"> a</w:t>
            </w:r>
            <w:r w:rsidRPr="00AB2BED">
              <w:rPr>
                <w:rFonts w:cs="Arial"/>
                <w:lang w:val="es-PE"/>
              </w:rPr>
              <w:t xml:space="preserve"> Recepción</w:t>
            </w:r>
            <w:r w:rsidRPr="004651BC">
              <w:rPr>
                <w:rFonts w:cs="Arial"/>
                <w:lang w:val="pt-BR"/>
              </w:rPr>
              <w:t>, registro y</w:t>
            </w:r>
            <w:r w:rsidRPr="00AB2BED">
              <w:rPr>
                <w:rFonts w:cs="Arial"/>
                <w:lang w:val="es-PE"/>
              </w:rPr>
              <w:t xml:space="preserve"> atención</w:t>
            </w:r>
            <w:r w:rsidRPr="004651BC">
              <w:rPr>
                <w:rFonts w:cs="Arial"/>
                <w:lang w:val="pt-BR"/>
              </w:rPr>
              <w:t xml:space="preserve"> de visitantes,</w:t>
            </w:r>
            <w:r w:rsidRPr="00AB2BED">
              <w:rPr>
                <w:rFonts w:cs="Arial"/>
                <w:lang w:val="es-PE"/>
              </w:rPr>
              <w:t xml:space="preserve"> proveedores</w:t>
            </w:r>
            <w:r w:rsidRPr="004651BC">
              <w:rPr>
                <w:rFonts w:cs="Arial"/>
                <w:lang w:val="pt-BR"/>
              </w:rPr>
              <w:t xml:space="preserve"> y</w:t>
            </w:r>
            <w:r w:rsidRPr="00AB2BED">
              <w:rPr>
                <w:rFonts w:cs="Arial"/>
                <w:lang w:val="es-PE"/>
              </w:rPr>
              <w:t xml:space="preserve"> en</w:t>
            </w:r>
            <w:r w:rsidRPr="004651BC">
              <w:rPr>
                <w:rFonts w:cs="Arial"/>
                <w:lang w:val="pt-BR"/>
              </w:rPr>
              <w:t xml:space="preserve"> especial de</w:t>
            </w:r>
            <w:r w:rsidRPr="00AB2BED">
              <w:rPr>
                <w:rFonts w:cs="Arial"/>
                <w:lang w:val="es-PE"/>
              </w:rPr>
              <w:t xml:space="preserve"> nuestros</w:t>
            </w:r>
            <w:r w:rsidRPr="004651BC">
              <w:rPr>
                <w:rFonts w:cs="Arial"/>
                <w:lang w:val="pt-BR"/>
              </w:rPr>
              <w:t xml:space="preserve"> clientes.</w:t>
            </w:r>
          </w:p>
        </w:tc>
      </w:tr>
      <w:tr w:rsidR="00DB304D" w:rsidRPr="00507D61" w:rsidTr="00EB0D04">
        <w:trPr>
          <w:cantSplit/>
          <w:trHeight w:val="567"/>
        </w:trPr>
        <w:tc>
          <w:tcPr>
            <w:tcW w:w="933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507D61" w:rsidRDefault="00DB304D" w:rsidP="00DB304D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2  FUNCIONES ASIGNADAS</w:t>
            </w:r>
          </w:p>
        </w:tc>
      </w:tr>
      <w:tr w:rsidR="00DB304D" w:rsidRPr="00507D61" w:rsidTr="00EB0D04">
        <w:trPr>
          <w:cantSplit/>
          <w:trHeight w:val="567"/>
        </w:trPr>
        <w:tc>
          <w:tcPr>
            <w:tcW w:w="9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4651BC" w:rsidRDefault="00DB304D" w:rsidP="00DB304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4651BC">
              <w:rPr>
                <w:lang w:val="es-PE"/>
              </w:rPr>
              <w:t>Atención en la central telefónica.</w:t>
            </w:r>
          </w:p>
          <w:p w:rsidR="00DB304D" w:rsidRPr="004651BC" w:rsidRDefault="00DB304D" w:rsidP="00DB304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4651BC">
              <w:rPr>
                <w:lang w:val="es-PE"/>
              </w:rPr>
              <w:t>Atención a visitantes y registro de los mismos en el cuaderno de visitas.</w:t>
            </w:r>
          </w:p>
          <w:p w:rsidR="00DB304D" w:rsidRPr="004651BC" w:rsidRDefault="00DB304D" w:rsidP="00DB304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4651BC">
              <w:rPr>
                <w:lang w:val="es-PE"/>
              </w:rPr>
              <w:t>Atención permanente a la Gerencia General.</w:t>
            </w:r>
          </w:p>
          <w:p w:rsidR="00DB304D" w:rsidRPr="004651BC" w:rsidRDefault="00DB304D" w:rsidP="00DB304D">
            <w:pPr>
              <w:widowControl w:val="0"/>
              <w:suppressAutoHyphens/>
              <w:ind w:left="720" w:right="848"/>
              <w:jc w:val="both"/>
              <w:outlineLvl w:val="0"/>
              <w:rPr>
                <w:lang w:val="es-PE"/>
              </w:rPr>
            </w:pPr>
            <w:r w:rsidRPr="004651BC">
              <w:rPr>
                <w:lang w:val="es-PE"/>
              </w:rPr>
              <w:t xml:space="preserve">• </w:t>
            </w:r>
            <w:r w:rsidR="000069CF">
              <w:rPr>
                <w:lang w:val="es-PE"/>
              </w:rPr>
              <w:t>Realizar las llamadas que se le soliciten.</w:t>
            </w:r>
          </w:p>
          <w:p w:rsidR="00DB304D" w:rsidRDefault="00DB304D" w:rsidP="00DB304D">
            <w:pPr>
              <w:widowControl w:val="0"/>
              <w:suppressAutoHyphens/>
              <w:ind w:left="720" w:right="848"/>
              <w:jc w:val="both"/>
              <w:outlineLvl w:val="0"/>
              <w:rPr>
                <w:lang w:val="es-PE"/>
              </w:rPr>
            </w:pPr>
            <w:r w:rsidRPr="004651BC">
              <w:rPr>
                <w:lang w:val="es-PE"/>
              </w:rPr>
              <w:t>• Llevarle café.</w:t>
            </w:r>
          </w:p>
          <w:p w:rsidR="00DB304D" w:rsidRPr="004651BC" w:rsidRDefault="00DB304D" w:rsidP="00DB304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4651BC">
              <w:rPr>
                <w:lang w:val="es-PE"/>
              </w:rPr>
              <w:t>Registro de documentos recepcionados, en Excel y notificar por correo al destinatario.</w:t>
            </w:r>
          </w:p>
          <w:p w:rsidR="00DB304D" w:rsidRDefault="00DB304D" w:rsidP="00DB304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4651BC">
              <w:rPr>
                <w:lang w:val="es-PE"/>
              </w:rPr>
              <w:t>Elaborar cartas, comunicados, y demás de la Gerencia General.</w:t>
            </w:r>
          </w:p>
          <w:p w:rsidR="00E911DA" w:rsidRPr="002258F2" w:rsidRDefault="00E911DA" w:rsidP="00DB304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2258F2">
              <w:rPr>
                <w:lang w:val="es-PE"/>
              </w:rPr>
              <w:t>Único responsable de recibir documentos y del sello de los mismo (anexo 1)</w:t>
            </w:r>
          </w:p>
          <w:p w:rsidR="00E911DA" w:rsidRPr="002258F2" w:rsidRDefault="00E911DA" w:rsidP="00DB304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2258F2">
              <w:rPr>
                <w:lang w:val="es-PE"/>
              </w:rPr>
              <w:t>Responsable de tener bajo llave los sellos de la empresa que dicho puesto maneja.</w:t>
            </w:r>
          </w:p>
          <w:p w:rsidR="00DB304D" w:rsidRPr="004651BC" w:rsidRDefault="00DB304D" w:rsidP="00DB304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4651BC">
              <w:rPr>
                <w:lang w:val="es-PE"/>
              </w:rPr>
              <w:t>Verificar que los importes cobrados por Cli proyectos sean de acuerdo a la tarifa.</w:t>
            </w:r>
          </w:p>
          <w:p w:rsidR="00DB304D" w:rsidRPr="004651BC" w:rsidRDefault="00DB304D" w:rsidP="00DB304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4651BC">
              <w:rPr>
                <w:lang w:val="es-PE"/>
              </w:rPr>
              <w:t>Revisa el valor referencial de las facturas de transporte.</w:t>
            </w:r>
          </w:p>
          <w:p w:rsidR="00DB304D" w:rsidRPr="004651BC" w:rsidRDefault="00DB304D" w:rsidP="00DB304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4651BC">
              <w:rPr>
                <w:lang w:val="es-PE"/>
              </w:rPr>
              <w:t>Entregar las facturas Adquiriente</w:t>
            </w:r>
            <w:r w:rsidR="009336FD">
              <w:rPr>
                <w:lang w:val="es-PE"/>
              </w:rPr>
              <w:t xml:space="preserve"> o</w:t>
            </w:r>
            <w:r w:rsidRPr="004651BC">
              <w:rPr>
                <w:lang w:val="es-PE"/>
              </w:rPr>
              <w:t xml:space="preserve"> Usuario </w:t>
            </w:r>
            <w:r w:rsidR="009336FD">
              <w:rPr>
                <w:lang w:val="es-PE"/>
              </w:rPr>
              <w:t xml:space="preserve">/ Sunat </w:t>
            </w:r>
            <w:r w:rsidRPr="004651BC">
              <w:rPr>
                <w:lang w:val="es-PE"/>
              </w:rPr>
              <w:t>a Tesorería.</w:t>
            </w:r>
          </w:p>
          <w:p w:rsidR="00DB304D" w:rsidRPr="004651BC" w:rsidRDefault="00DB304D" w:rsidP="00DB304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4651BC">
              <w:rPr>
                <w:lang w:val="es-PE"/>
              </w:rPr>
              <w:t>Entregar notificaciones</w:t>
            </w:r>
            <w:r w:rsidR="006C3B7D">
              <w:rPr>
                <w:lang w:val="es-PE"/>
              </w:rPr>
              <w:t xml:space="preserve"> legales al Jefe del área Legal; previamente el Asistente Legal deberá apersonarse a Recepción a dar la conformidad antes de recibirlo.</w:t>
            </w:r>
          </w:p>
          <w:p w:rsidR="006C3B7D" w:rsidRDefault="006C3B7D" w:rsidP="00DB304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4651BC">
              <w:rPr>
                <w:lang w:val="es-PE"/>
              </w:rPr>
              <w:t>Entregar el diario</w:t>
            </w:r>
            <w:r>
              <w:rPr>
                <w:lang w:val="es-PE"/>
              </w:rPr>
              <w:t xml:space="preserve"> Gestión a las Gerencias de Administración y Finanzas y Gerencial General.</w:t>
            </w:r>
          </w:p>
          <w:p w:rsidR="006C3B7D" w:rsidRPr="004651BC" w:rsidRDefault="006C3B7D" w:rsidP="00DB304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4651BC">
              <w:rPr>
                <w:lang w:val="es-PE"/>
              </w:rPr>
              <w:t xml:space="preserve">Entregar el </w:t>
            </w:r>
            <w:r>
              <w:rPr>
                <w:lang w:val="es-PE"/>
              </w:rPr>
              <w:t>semanario Semana Económica a la Gerencia General en las condiciones informadas previamente por dicha Gerencia.</w:t>
            </w:r>
          </w:p>
          <w:p w:rsidR="00DB304D" w:rsidRPr="001833B6" w:rsidRDefault="00DB304D" w:rsidP="00DB304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1833B6">
              <w:rPr>
                <w:lang w:val="es-PE"/>
              </w:rPr>
              <w:t xml:space="preserve">Llevar una agenda de reuniones </w:t>
            </w:r>
            <w:r w:rsidR="00666CD1">
              <w:rPr>
                <w:lang w:val="es-PE"/>
              </w:rPr>
              <w:t xml:space="preserve">externas </w:t>
            </w:r>
            <w:r w:rsidRPr="001833B6">
              <w:rPr>
                <w:lang w:val="es-PE"/>
              </w:rPr>
              <w:t>de</w:t>
            </w:r>
            <w:r w:rsidR="00666CD1">
              <w:rPr>
                <w:lang w:val="es-PE"/>
              </w:rPr>
              <w:t xml:space="preserve"> las Gerencias y Jefaturas</w:t>
            </w:r>
            <w:r w:rsidRPr="001833B6">
              <w:rPr>
                <w:lang w:val="es-PE"/>
              </w:rPr>
              <w:t>.</w:t>
            </w:r>
          </w:p>
          <w:p w:rsidR="00DB304D" w:rsidRPr="004651BC" w:rsidRDefault="00DB304D" w:rsidP="00DB304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4651BC">
              <w:rPr>
                <w:lang w:val="es-PE"/>
              </w:rPr>
              <w:t>Enviar por correo reporte de agenda de reuniones (al termino del día).</w:t>
            </w:r>
          </w:p>
          <w:p w:rsidR="00DB304D" w:rsidRPr="004651BC" w:rsidRDefault="00DB304D" w:rsidP="00DB304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4651BC">
              <w:rPr>
                <w:lang w:val="es-PE"/>
              </w:rPr>
              <w:t>Llamar a los proveedores para que recojan los cheques, por cancelación de sus facturas.</w:t>
            </w:r>
          </w:p>
          <w:p w:rsidR="00DB304D" w:rsidRPr="004651BC" w:rsidRDefault="00DB304D" w:rsidP="00DB304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4651BC">
              <w:rPr>
                <w:lang w:val="es-PE"/>
              </w:rPr>
              <w:t>Entregar los cheques a los proveedores.</w:t>
            </w:r>
          </w:p>
          <w:p w:rsidR="00DB304D" w:rsidRPr="004651BC" w:rsidRDefault="00DB304D" w:rsidP="00DB304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4651BC">
              <w:rPr>
                <w:lang w:val="es-PE"/>
              </w:rPr>
              <w:t>Entregar los vouchers y documentos cancelados a Contabilidad.</w:t>
            </w:r>
          </w:p>
          <w:p w:rsidR="00E911DA" w:rsidRPr="002258F2" w:rsidRDefault="00E911DA" w:rsidP="00DB304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2258F2">
              <w:rPr>
                <w:lang w:val="es-PE"/>
              </w:rPr>
              <w:t xml:space="preserve">Responsable </w:t>
            </w:r>
            <w:r w:rsidR="002258F2">
              <w:rPr>
                <w:lang w:val="es-PE"/>
              </w:rPr>
              <w:t xml:space="preserve">que se </w:t>
            </w:r>
            <w:r w:rsidRPr="002258F2">
              <w:rPr>
                <w:lang w:val="es-PE"/>
              </w:rPr>
              <w:t>manten</w:t>
            </w:r>
            <w:r w:rsidR="002258F2">
              <w:rPr>
                <w:lang w:val="es-PE"/>
              </w:rPr>
              <w:t>ga cerrada</w:t>
            </w:r>
            <w:r w:rsidRPr="002258F2">
              <w:rPr>
                <w:lang w:val="es-PE"/>
              </w:rPr>
              <w:t xml:space="preserve"> la puerta de la empresa.</w:t>
            </w:r>
          </w:p>
          <w:p w:rsidR="00DB304D" w:rsidRDefault="00DB304D" w:rsidP="00DB304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 w:rsidRPr="004651BC">
              <w:rPr>
                <w:lang w:val="es-PE"/>
              </w:rPr>
              <w:t>Responsable de la bandeja de salida de las Gerencias.</w:t>
            </w:r>
          </w:p>
          <w:p w:rsidR="00666CD1" w:rsidRDefault="00666CD1" w:rsidP="00DB304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Responsable de llevar la agenda del conductor de las Gerencias, consignando punto de salida, punto de llegada, kilometraje de salida y kilometraje de llegada de manera diaria.</w:t>
            </w:r>
          </w:p>
          <w:p w:rsidR="00666CD1" w:rsidRDefault="00666CD1" w:rsidP="00DB304D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 xml:space="preserve">Responsable de llevar el cuadro de gastos administrativos de manera mensual. De no </w:t>
            </w:r>
            <w:r w:rsidR="000069CF">
              <w:rPr>
                <w:lang w:val="es-PE"/>
              </w:rPr>
              <w:t xml:space="preserve">haber llegado </w:t>
            </w:r>
            <w:r>
              <w:rPr>
                <w:lang w:val="es-PE"/>
              </w:rPr>
              <w:t>factura de alguno de los proveedores administrativos, deberá llamar para solicitar dicho documento, de manera que pueda ser ingresado en el mes que corresponde.</w:t>
            </w:r>
          </w:p>
          <w:p w:rsidR="002258F2" w:rsidRPr="00EB0D04" w:rsidRDefault="000069CF" w:rsidP="002258F2">
            <w:pPr>
              <w:widowControl w:val="0"/>
              <w:numPr>
                <w:ilvl w:val="0"/>
                <w:numId w:val="11"/>
              </w:numPr>
              <w:suppressAutoHyphens/>
              <w:ind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Responsable de enviar el cuadro de facturación  de transporte al Supervisor de Administración</w:t>
            </w:r>
          </w:p>
        </w:tc>
      </w:tr>
      <w:tr w:rsidR="00DB304D" w:rsidRPr="00507D61" w:rsidTr="00EB0D04">
        <w:trPr>
          <w:cantSplit/>
          <w:trHeight w:val="567"/>
        </w:trPr>
        <w:tc>
          <w:tcPr>
            <w:tcW w:w="933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1833B6" w:rsidRDefault="00333628" w:rsidP="00DB304D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  <w:lang w:val="es-PE"/>
              </w:rPr>
              <w:t>3. RELACIONES DE PUESTO</w:t>
            </w:r>
          </w:p>
        </w:tc>
      </w:tr>
      <w:tr w:rsidR="00DB304D" w:rsidRPr="00507D61" w:rsidTr="00EB0D04">
        <w:trPr>
          <w:cantSplit/>
          <w:trHeight w:val="392"/>
        </w:trPr>
        <w:tc>
          <w:tcPr>
            <w:tcW w:w="48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507D61" w:rsidRDefault="00DB304D" w:rsidP="00DB304D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507D61" w:rsidRDefault="00DB304D" w:rsidP="00DB304D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DB304D" w:rsidRPr="00507D61" w:rsidTr="00EB0D04">
        <w:trPr>
          <w:cantSplit/>
          <w:trHeight w:val="397"/>
        </w:trPr>
        <w:tc>
          <w:tcPr>
            <w:tcW w:w="48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570F4F" w:rsidRDefault="002258F2" w:rsidP="002258F2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>
              <w:t>Superviso</w:t>
            </w:r>
            <w:r w:rsidR="00DB304D">
              <w:t>r de Administración</w:t>
            </w:r>
          </w:p>
        </w:tc>
        <w:tc>
          <w:tcPr>
            <w:tcW w:w="4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E3022A" w:rsidRDefault="00DB304D" w:rsidP="00DB304D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FD3CF3">
              <w:t>Ninguno</w:t>
            </w:r>
          </w:p>
        </w:tc>
      </w:tr>
      <w:tr w:rsidR="00DB304D" w:rsidRPr="00507D61" w:rsidTr="00EB0D04">
        <w:trPr>
          <w:cantSplit/>
          <w:trHeight w:val="526"/>
        </w:trPr>
        <w:tc>
          <w:tcPr>
            <w:tcW w:w="48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507D61" w:rsidRDefault="00DB304D" w:rsidP="00DB304D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lastRenderedPageBreak/>
              <w:t>Comunicaciones externas:</w:t>
            </w:r>
          </w:p>
        </w:tc>
        <w:tc>
          <w:tcPr>
            <w:tcW w:w="4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507D61" w:rsidRDefault="00DB304D" w:rsidP="00DB304D">
            <w:pPr>
              <w:spacing w:before="80" w:after="80" w:line="360" w:lineRule="auto"/>
              <w:ind w:left="3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Clientes y Proveedores</w:t>
            </w:r>
          </w:p>
        </w:tc>
      </w:tr>
      <w:tr w:rsidR="00DB304D" w:rsidRPr="00507D61" w:rsidTr="00EB0D04">
        <w:trPr>
          <w:cantSplit/>
          <w:trHeight w:val="601"/>
        </w:trPr>
        <w:tc>
          <w:tcPr>
            <w:tcW w:w="9334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B304D" w:rsidRPr="00507D61" w:rsidRDefault="00DB304D" w:rsidP="00DB304D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  REQUISITOS  DE COMPETENCIA DEL PUESTO</w:t>
            </w:r>
          </w:p>
        </w:tc>
      </w:tr>
      <w:tr w:rsidR="00DB304D" w:rsidRPr="00507D61" w:rsidTr="00EB0D04">
        <w:trPr>
          <w:cantSplit/>
          <w:trHeight w:val="567"/>
        </w:trPr>
        <w:tc>
          <w:tcPr>
            <w:tcW w:w="93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507D61" w:rsidRDefault="00DB304D" w:rsidP="00DB304D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los siguientes requisitos:</w:t>
            </w:r>
          </w:p>
        </w:tc>
      </w:tr>
      <w:tr w:rsidR="00DB304D" w:rsidRPr="00507D61" w:rsidTr="00EB0D04">
        <w:trPr>
          <w:cantSplit/>
          <w:trHeight w:val="578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AF7BF4" w:rsidRDefault="00DB304D" w:rsidP="00DB304D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AF7BF4">
              <w:t>Educación</w:t>
            </w:r>
          </w:p>
        </w:tc>
        <w:tc>
          <w:tcPr>
            <w:tcW w:w="74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8728A1" w:rsidRDefault="00DB304D" w:rsidP="00DB304D">
            <w:pPr>
              <w:numPr>
                <w:ilvl w:val="0"/>
                <w:numId w:val="2"/>
              </w:numPr>
              <w:spacing w:before="120" w:line="360" w:lineRule="auto"/>
              <w:ind w:left="357" w:hanging="357"/>
              <w:rPr>
                <w:color w:val="000000" w:themeColor="text1"/>
                <w:lang w:val="es-PE"/>
              </w:rPr>
            </w:pPr>
            <w:r w:rsidRPr="008728A1">
              <w:rPr>
                <w:color w:val="000000" w:themeColor="text1"/>
                <w:lang w:val="es-PE"/>
              </w:rPr>
              <w:t xml:space="preserve">Técnico </w:t>
            </w:r>
            <w:r>
              <w:rPr>
                <w:color w:val="000000" w:themeColor="text1"/>
                <w:lang w:val="es-PE"/>
              </w:rPr>
              <w:t>en Secretariado</w:t>
            </w:r>
          </w:p>
        </w:tc>
      </w:tr>
      <w:tr w:rsidR="00DB304D" w:rsidRPr="00507D61" w:rsidTr="00EB0D04">
        <w:trPr>
          <w:cantSplit/>
          <w:trHeight w:val="689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507D61" w:rsidRDefault="00DB304D" w:rsidP="00DB304D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4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8728A1" w:rsidRDefault="00DB304D" w:rsidP="00DB304D">
            <w:pPr>
              <w:numPr>
                <w:ilvl w:val="0"/>
                <w:numId w:val="2"/>
              </w:numPr>
              <w:spacing w:before="120" w:line="360" w:lineRule="auto"/>
              <w:ind w:left="357" w:hanging="357"/>
              <w:rPr>
                <w:color w:val="000000" w:themeColor="text1"/>
                <w:lang w:val="es-PE"/>
              </w:rPr>
            </w:pPr>
            <w:r>
              <w:rPr>
                <w:color w:val="000000" w:themeColor="text1"/>
                <w:lang w:val="es-PE"/>
              </w:rPr>
              <w:t>Ingles a nivel intermedio.</w:t>
            </w:r>
          </w:p>
        </w:tc>
      </w:tr>
      <w:tr w:rsidR="00DB304D" w:rsidRPr="00507D61" w:rsidTr="00EB0D04">
        <w:trPr>
          <w:cantSplit/>
          <w:trHeight w:val="671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507D61" w:rsidRDefault="00DB304D" w:rsidP="00DB304D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4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8728A1" w:rsidRDefault="00DB304D" w:rsidP="00DB304D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0000" w:themeColor="text1"/>
                <w:lang w:val="es-PE"/>
              </w:rPr>
            </w:pPr>
            <w:r>
              <w:rPr>
                <w:color w:val="000000" w:themeColor="text1"/>
              </w:rPr>
              <w:t>Mínima 1</w:t>
            </w:r>
            <w:r>
              <w:rPr>
                <w:color w:val="000000" w:themeColor="text1"/>
                <w:lang w:val="es-PE"/>
              </w:rPr>
              <w:t xml:space="preserve"> año de experiencia.</w:t>
            </w:r>
          </w:p>
        </w:tc>
      </w:tr>
      <w:tr w:rsidR="00DB304D" w:rsidRPr="00507D61" w:rsidTr="00EB0D04">
        <w:trPr>
          <w:cantSplit/>
          <w:trHeight w:val="567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507D61" w:rsidRDefault="00DB304D" w:rsidP="00DB304D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4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353E9B" w:rsidRDefault="00DB304D" w:rsidP="00ED39FB">
            <w:pPr>
              <w:numPr>
                <w:ilvl w:val="0"/>
                <w:numId w:val="2"/>
              </w:numPr>
              <w:spacing w:before="120" w:line="360" w:lineRule="auto"/>
              <w:ind w:left="357" w:hanging="357"/>
              <w:rPr>
                <w:color w:val="000000" w:themeColor="text1"/>
                <w:lang w:val="es-PE"/>
              </w:rPr>
            </w:pPr>
            <w:r>
              <w:rPr>
                <w:color w:val="000000" w:themeColor="text1"/>
                <w:lang w:val="es-PE"/>
              </w:rPr>
              <w:t xml:space="preserve">Definidas en la evaluación de desempeño. </w:t>
            </w:r>
          </w:p>
        </w:tc>
      </w:tr>
      <w:tr w:rsidR="00DB304D" w:rsidRPr="00507D61" w:rsidTr="00EB0D04">
        <w:trPr>
          <w:cantSplit/>
          <w:trHeight w:val="544"/>
        </w:trPr>
        <w:tc>
          <w:tcPr>
            <w:tcW w:w="9334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B304D" w:rsidRPr="00507D61" w:rsidRDefault="00DB304D" w:rsidP="00DB304D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5  CONTROL DEL DOCUMENTO</w:t>
            </w:r>
          </w:p>
        </w:tc>
      </w:tr>
      <w:tr w:rsidR="00DB304D" w:rsidRPr="00507D61" w:rsidTr="00EB0D04">
        <w:trPr>
          <w:cantSplit/>
          <w:trHeight w:val="578"/>
        </w:trPr>
        <w:tc>
          <w:tcPr>
            <w:tcW w:w="24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507D61" w:rsidRDefault="00DB304D" w:rsidP="00DB304D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68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507D61" w:rsidRDefault="00D56F99" w:rsidP="00DB304D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DB304D" w:rsidRPr="00507D61" w:rsidTr="00EB0D04">
        <w:trPr>
          <w:cantSplit/>
          <w:trHeight w:val="503"/>
        </w:trPr>
        <w:tc>
          <w:tcPr>
            <w:tcW w:w="24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507D61" w:rsidRDefault="00DB304D" w:rsidP="00DB304D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68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507D61" w:rsidRDefault="00DB304D" w:rsidP="00DB304D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Fabiola Fernandez</w:t>
            </w:r>
          </w:p>
        </w:tc>
      </w:tr>
      <w:tr w:rsidR="00DB304D" w:rsidRPr="00507D61" w:rsidTr="00EB0D04">
        <w:trPr>
          <w:cantSplit/>
          <w:trHeight w:val="567"/>
        </w:trPr>
        <w:tc>
          <w:tcPr>
            <w:tcW w:w="24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507D61" w:rsidRDefault="00DB304D" w:rsidP="00DB304D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Aprobado por</w:t>
            </w:r>
          </w:p>
        </w:tc>
        <w:tc>
          <w:tcPr>
            <w:tcW w:w="6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507D61" w:rsidRDefault="00DB304D" w:rsidP="00DB304D">
            <w:pPr>
              <w:spacing w:before="80" w:after="80"/>
              <w:ind w:right="57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Giovanni Klein</w:t>
            </w:r>
          </w:p>
        </w:tc>
      </w:tr>
      <w:tr w:rsidR="00DB304D" w:rsidRPr="00507D61" w:rsidTr="00EB0D04">
        <w:trPr>
          <w:cantSplit/>
          <w:trHeight w:val="567"/>
        </w:trPr>
        <w:tc>
          <w:tcPr>
            <w:tcW w:w="24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Default="00DB304D" w:rsidP="00DB304D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DB304D" w:rsidRPr="00507D61" w:rsidRDefault="00DB304D" w:rsidP="00DB304D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6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507D61" w:rsidRDefault="00DB304D" w:rsidP="00DB304D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DB304D" w:rsidRPr="00507D61" w:rsidTr="00EB0D04">
        <w:trPr>
          <w:cantSplit/>
          <w:trHeight w:val="567"/>
        </w:trPr>
        <w:tc>
          <w:tcPr>
            <w:tcW w:w="246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507D61" w:rsidRDefault="00DB304D" w:rsidP="00DB304D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6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507D61" w:rsidRDefault="00DB304D" w:rsidP="00DB304D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DB304D" w:rsidRPr="00507D61" w:rsidTr="00EB0D04">
        <w:trPr>
          <w:cantSplit/>
          <w:trHeight w:val="567"/>
        </w:trPr>
        <w:tc>
          <w:tcPr>
            <w:tcW w:w="24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507D61" w:rsidRDefault="00D56F99" w:rsidP="00DB304D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1</w:t>
            </w:r>
          </w:p>
        </w:tc>
        <w:tc>
          <w:tcPr>
            <w:tcW w:w="68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304D" w:rsidRPr="00507D61" w:rsidRDefault="00602B36" w:rsidP="00DB304D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Se ha agregado los ítems c) y d) relacionados a la recepción de facturas de transportes.</w:t>
            </w:r>
          </w:p>
        </w:tc>
      </w:tr>
    </w:tbl>
    <w:p w:rsidR="00EB7ABD" w:rsidRDefault="00EB7ABD" w:rsidP="00E60124">
      <w:pPr>
        <w:pStyle w:val="Ttulo1"/>
        <w:spacing w:before="80" w:after="80"/>
        <w:ind w:left="0"/>
        <w:rPr>
          <w:rFonts w:ascii="Arial" w:hAnsi="Arial" w:cs="Arial"/>
          <w:color w:val="800000"/>
          <w:sz w:val="20"/>
          <w:szCs w:val="20"/>
        </w:rPr>
      </w:pPr>
    </w:p>
    <w:p w:rsidR="00E911DA" w:rsidRDefault="00E911DA" w:rsidP="00E911DA"/>
    <w:p w:rsidR="00E911DA" w:rsidRDefault="00E911DA" w:rsidP="00E911DA"/>
    <w:p w:rsidR="00E911DA" w:rsidRDefault="00E911DA" w:rsidP="00E911DA"/>
    <w:p w:rsidR="00E911DA" w:rsidRDefault="00E911DA" w:rsidP="00E911DA"/>
    <w:p w:rsidR="00E911DA" w:rsidRDefault="00E911DA" w:rsidP="00E911DA"/>
    <w:p w:rsidR="00E911DA" w:rsidRDefault="00E911DA" w:rsidP="00E911DA"/>
    <w:p w:rsidR="00E911DA" w:rsidRDefault="00E911DA" w:rsidP="00E911DA"/>
    <w:p w:rsidR="00E911DA" w:rsidRDefault="00E911DA" w:rsidP="00E911DA"/>
    <w:p w:rsidR="00E911DA" w:rsidRDefault="00E911DA" w:rsidP="00E911DA"/>
    <w:p w:rsidR="00E911DA" w:rsidRDefault="00E911DA" w:rsidP="00E911DA"/>
    <w:p w:rsidR="00E911DA" w:rsidRDefault="00E911DA" w:rsidP="00E911DA"/>
    <w:p w:rsidR="00E911DA" w:rsidRDefault="00E911DA" w:rsidP="00E911DA"/>
    <w:p w:rsidR="00E911DA" w:rsidRPr="00E911DA" w:rsidRDefault="00E911DA" w:rsidP="00E911DA"/>
    <w:p w:rsidR="00E911DA" w:rsidRDefault="00E911DA" w:rsidP="00E911DA"/>
    <w:p w:rsidR="00E911DA" w:rsidRDefault="00E911DA" w:rsidP="00E911DA">
      <w:pPr>
        <w:jc w:val="center"/>
        <w:rPr>
          <w:b/>
          <w:sz w:val="28"/>
          <w:szCs w:val="28"/>
        </w:rPr>
      </w:pPr>
      <w:r w:rsidRPr="00E911DA">
        <w:rPr>
          <w:b/>
          <w:sz w:val="28"/>
          <w:szCs w:val="28"/>
        </w:rPr>
        <w:lastRenderedPageBreak/>
        <w:t>(ANEXO 1)</w:t>
      </w:r>
    </w:p>
    <w:p w:rsidR="00334E26" w:rsidRPr="00E911DA" w:rsidRDefault="00334E26" w:rsidP="00E911DA">
      <w:pPr>
        <w:jc w:val="center"/>
        <w:rPr>
          <w:b/>
          <w:sz w:val="28"/>
          <w:szCs w:val="28"/>
        </w:rPr>
      </w:pPr>
    </w:p>
    <w:p w:rsidR="00E911DA" w:rsidRDefault="002258F2" w:rsidP="00E9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E911DA" w:rsidRPr="00E911DA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S</w:t>
      </w:r>
      <w:r w:rsidR="00E911DA" w:rsidRPr="00E911DA">
        <w:rPr>
          <w:b/>
          <w:sz w:val="28"/>
          <w:szCs w:val="28"/>
        </w:rPr>
        <w:t>TRUCTIVO DE RECEPCION DE DOCUMENTOS:</w:t>
      </w:r>
    </w:p>
    <w:p w:rsidR="00334E26" w:rsidRDefault="00334E26" w:rsidP="00E911DA">
      <w:pPr>
        <w:jc w:val="center"/>
        <w:rPr>
          <w:b/>
          <w:sz w:val="28"/>
          <w:szCs w:val="28"/>
        </w:rPr>
      </w:pPr>
    </w:p>
    <w:p w:rsidR="00334E26" w:rsidRPr="00E911DA" w:rsidRDefault="00334E26" w:rsidP="00E911DA">
      <w:pPr>
        <w:jc w:val="center"/>
        <w:rPr>
          <w:b/>
          <w:sz w:val="28"/>
          <w:szCs w:val="28"/>
        </w:rPr>
      </w:pPr>
    </w:p>
    <w:p w:rsidR="00E911DA" w:rsidRDefault="00E911DA" w:rsidP="00E911DA">
      <w:pPr>
        <w:jc w:val="both"/>
      </w:pPr>
    </w:p>
    <w:p w:rsidR="00E911DA" w:rsidRDefault="00E911DA" w:rsidP="00D56F99">
      <w:pPr>
        <w:pStyle w:val="Prrafodelista"/>
        <w:numPr>
          <w:ilvl w:val="0"/>
          <w:numId w:val="22"/>
        </w:numPr>
        <w:jc w:val="both"/>
      </w:pPr>
      <w:r>
        <w:t xml:space="preserve">La recepcionista debe recibir los documentos que llegan a la empresa, debe abrir todos los sobres con la excepción de los que vienen a nombre de alguna Gerencia. </w:t>
      </w:r>
    </w:p>
    <w:p w:rsidR="00D56F99" w:rsidRDefault="00D56F99" w:rsidP="00D56F99">
      <w:pPr>
        <w:pStyle w:val="Prrafodelista"/>
        <w:jc w:val="both"/>
      </w:pPr>
    </w:p>
    <w:p w:rsidR="00602B36" w:rsidRDefault="00602B36" w:rsidP="00602B36">
      <w:pPr>
        <w:pStyle w:val="Prrafodelista"/>
        <w:numPr>
          <w:ilvl w:val="0"/>
          <w:numId w:val="22"/>
        </w:numPr>
        <w:jc w:val="both"/>
      </w:pPr>
      <w:r>
        <w:t xml:space="preserve">En el caso de las facturas debe revisar que el nombre de la empresa, el nro. de RUC, la dirección, e IGV sean los correctos. </w:t>
      </w:r>
    </w:p>
    <w:p w:rsidR="00602B36" w:rsidRDefault="00602B36" w:rsidP="00602B36">
      <w:pPr>
        <w:pStyle w:val="Prrafodelista"/>
      </w:pPr>
    </w:p>
    <w:p w:rsidR="00D56F99" w:rsidRDefault="00D56F99" w:rsidP="00D56F99">
      <w:pPr>
        <w:pStyle w:val="Prrafodelista"/>
        <w:numPr>
          <w:ilvl w:val="0"/>
          <w:numId w:val="22"/>
        </w:numPr>
        <w:jc w:val="both"/>
      </w:pPr>
      <w:r>
        <w:t>La recepcionista es la encargada de rec</w:t>
      </w:r>
      <w:r w:rsidR="00602B36">
        <w:t>ibir</w:t>
      </w:r>
      <w:r>
        <w:t xml:space="preserve"> las facturas por los servicios de transportes, cuadrillas, resguardo y similares.</w:t>
      </w:r>
      <w:bookmarkStart w:id="0" w:name="_GoBack"/>
      <w:bookmarkEnd w:id="0"/>
    </w:p>
    <w:p w:rsidR="00D56F99" w:rsidRDefault="00D56F99" w:rsidP="00D56F99">
      <w:pPr>
        <w:pStyle w:val="Prrafodelista"/>
        <w:jc w:val="both"/>
      </w:pPr>
    </w:p>
    <w:p w:rsidR="00D56F99" w:rsidRDefault="00D56F99" w:rsidP="00D56F99">
      <w:pPr>
        <w:pStyle w:val="Prrafodelista"/>
        <w:numPr>
          <w:ilvl w:val="0"/>
          <w:numId w:val="22"/>
        </w:numPr>
        <w:jc w:val="both"/>
      </w:pPr>
      <w:r>
        <w:t>Las facturas por el servicio de Transportes deben ser revisadas por la Recepcionista antes de su aceptación, considerando que toda factura debe cumplir con tener:</w:t>
      </w:r>
    </w:p>
    <w:p w:rsidR="00D56F99" w:rsidRDefault="00D56F99" w:rsidP="00D56F99">
      <w:pPr>
        <w:pStyle w:val="Prrafodelista"/>
      </w:pPr>
    </w:p>
    <w:p w:rsidR="00D56F99" w:rsidRDefault="00D56F99" w:rsidP="00D56F99">
      <w:pPr>
        <w:pStyle w:val="Prrafodelista"/>
        <w:numPr>
          <w:ilvl w:val="1"/>
          <w:numId w:val="22"/>
        </w:numPr>
        <w:jc w:val="both"/>
      </w:pPr>
      <w:r>
        <w:t>Indicación de la OP de CLI P y OS de CLI G</w:t>
      </w:r>
    </w:p>
    <w:p w:rsidR="00D56F99" w:rsidRDefault="00D56F99" w:rsidP="00D56F99">
      <w:pPr>
        <w:pStyle w:val="Prrafodelista"/>
        <w:numPr>
          <w:ilvl w:val="1"/>
          <w:numId w:val="22"/>
        </w:numPr>
        <w:jc w:val="both"/>
      </w:pPr>
      <w:r>
        <w:t>Indicación de los días de crédito (como mínimo 15 días)</w:t>
      </w:r>
    </w:p>
    <w:p w:rsidR="00D56F99" w:rsidRDefault="00D56F99" w:rsidP="00D56F99">
      <w:pPr>
        <w:pStyle w:val="Prrafodelista"/>
        <w:numPr>
          <w:ilvl w:val="1"/>
          <w:numId w:val="22"/>
        </w:numPr>
        <w:jc w:val="both"/>
      </w:pPr>
      <w:r>
        <w:t>Guía de remisión</w:t>
      </w:r>
    </w:p>
    <w:p w:rsidR="00D56F99" w:rsidRDefault="00D56F99" w:rsidP="00D56F99">
      <w:pPr>
        <w:pStyle w:val="Prrafodelista"/>
        <w:numPr>
          <w:ilvl w:val="1"/>
          <w:numId w:val="22"/>
        </w:numPr>
        <w:jc w:val="both"/>
      </w:pPr>
      <w:r>
        <w:t>Report de devolución (en el caso de contenedores)</w:t>
      </w:r>
    </w:p>
    <w:p w:rsidR="00E911DA" w:rsidRDefault="00E911DA" w:rsidP="00E911DA">
      <w:pPr>
        <w:pStyle w:val="Prrafodelista"/>
        <w:jc w:val="both"/>
      </w:pPr>
    </w:p>
    <w:p w:rsidR="00AF5365" w:rsidRDefault="00AF5365" w:rsidP="00D56F99">
      <w:pPr>
        <w:pStyle w:val="Prrafodelista"/>
        <w:numPr>
          <w:ilvl w:val="0"/>
          <w:numId w:val="22"/>
        </w:numPr>
        <w:jc w:val="both"/>
      </w:pPr>
      <w:r>
        <w:t xml:space="preserve">Las facturas por el servicio de Transporte solamente serán recibidas por la Recepcionista, si corresponden a un proveedor homologado con CLI (servicio realizado con una unidad de transporte homologada); si existiese un servicio adicional realizado por un proveedor no homologado, deberá contar con un correo de autorización de nuestra Gerente de Administración y Finanzas.  </w:t>
      </w:r>
    </w:p>
    <w:p w:rsidR="00AF5365" w:rsidRDefault="00AF5365" w:rsidP="00AF5365">
      <w:pPr>
        <w:pStyle w:val="Prrafodelista"/>
        <w:jc w:val="both"/>
      </w:pPr>
    </w:p>
    <w:p w:rsidR="00E911DA" w:rsidRDefault="00E911DA" w:rsidP="00D56F99">
      <w:pPr>
        <w:pStyle w:val="Prrafodelista"/>
        <w:numPr>
          <w:ilvl w:val="0"/>
          <w:numId w:val="22"/>
        </w:numPr>
        <w:jc w:val="both"/>
      </w:pPr>
      <w:r>
        <w:t xml:space="preserve">En el caso de notificaciones administrativas, Cartas Notariales de todo tipo </w:t>
      </w:r>
      <w:r w:rsidR="00334E26">
        <w:t xml:space="preserve">o cualquier otro documento legal con excepción de las notificaciones de aduanas </w:t>
      </w:r>
      <w:r>
        <w:t xml:space="preserve"> no podrá recibirlas sin antes haber informado a su jefatura respectiva, la cual deberá poner un visto en dicha notificación.  Posteriormente deberá entregarla a la Gerencia General físicamente, y enviarla por correo electrónico a la Gerencia General, Gerencia de </w:t>
      </w:r>
      <w:r w:rsidR="00826F36">
        <w:t>A</w:t>
      </w:r>
      <w:r>
        <w:t xml:space="preserve">dministración y </w:t>
      </w:r>
      <w:r w:rsidR="00826F36">
        <w:t>F</w:t>
      </w:r>
      <w:r>
        <w:t xml:space="preserve">inanzas. Por ultimo tiene que tener un registro de dicho ingreso. </w:t>
      </w:r>
    </w:p>
    <w:p w:rsidR="00E911DA" w:rsidRDefault="00E911DA" w:rsidP="00E911DA">
      <w:pPr>
        <w:pStyle w:val="Prrafodelista"/>
        <w:jc w:val="both"/>
      </w:pPr>
    </w:p>
    <w:p w:rsidR="00E911DA" w:rsidRDefault="00E911DA" w:rsidP="00D56F99">
      <w:pPr>
        <w:pStyle w:val="Prrafodelista"/>
        <w:numPr>
          <w:ilvl w:val="0"/>
          <w:numId w:val="22"/>
        </w:numPr>
        <w:jc w:val="both"/>
      </w:pPr>
      <w:r>
        <w:t xml:space="preserve">En el caso de notificaciones operativas </w:t>
      </w:r>
      <w:r w:rsidR="00334E26">
        <w:t xml:space="preserve">(notificaciones de aduanas, IQPF, </w:t>
      </w:r>
      <w:proofErr w:type="spellStart"/>
      <w:r w:rsidR="00334E26">
        <w:t>etc</w:t>
      </w:r>
      <w:proofErr w:type="spellEnd"/>
      <w:r w:rsidR="00334E26">
        <w:t>)</w:t>
      </w:r>
      <w:r>
        <w:t xml:space="preserve"> no podrá recibirla</w:t>
      </w:r>
      <w:r w:rsidR="00826F36">
        <w:t>s sin antes haber informado al J</w:t>
      </w:r>
      <w:r>
        <w:t xml:space="preserve">efe Legal, la cual deberá poner un visto en dicha notificación.  Posteriormente deberá entregarla a la Jefatura Legal, y enviarla por correo electrónico a la Gerencia de Logística y Jefatura Legal. Por ultimo tiene que tener un registro de dicho ingreso. </w:t>
      </w:r>
    </w:p>
    <w:p w:rsidR="00E911DA" w:rsidRDefault="00E911DA" w:rsidP="00E911DA">
      <w:pPr>
        <w:pStyle w:val="Prrafodelista"/>
        <w:jc w:val="both"/>
      </w:pPr>
    </w:p>
    <w:p w:rsidR="00E911DA" w:rsidRPr="00580B8C" w:rsidRDefault="00E911DA" w:rsidP="00D56F99">
      <w:pPr>
        <w:pStyle w:val="Prrafodelista"/>
        <w:numPr>
          <w:ilvl w:val="0"/>
          <w:numId w:val="22"/>
        </w:numPr>
        <w:jc w:val="both"/>
      </w:pPr>
      <w:r w:rsidRPr="00580B8C">
        <w:t>En el caso que un personal entregue carta d</w:t>
      </w:r>
      <w:r w:rsidR="00826F36" w:rsidRPr="00580B8C">
        <w:t>e renuncia por la Recepción, é</w:t>
      </w:r>
      <w:r w:rsidR="000069CF" w:rsidRPr="00580B8C">
        <w:t>sta no podrá</w:t>
      </w:r>
      <w:r w:rsidR="00580B8C" w:rsidRPr="00580B8C">
        <w:t xml:space="preserve"> ser</w:t>
      </w:r>
      <w:r w:rsidR="000069CF" w:rsidRPr="00580B8C">
        <w:t xml:space="preserve"> sellad</w:t>
      </w:r>
      <w:r w:rsidRPr="00580B8C">
        <w:t xml:space="preserve">a hasta no contar con el Visto Bueno de la jefatura inmediata, pero deberá comunicar </w:t>
      </w:r>
      <w:r w:rsidR="00334E26" w:rsidRPr="00580B8C">
        <w:t>vía</w:t>
      </w:r>
      <w:r w:rsidRPr="00580B8C">
        <w:t xml:space="preserve"> escrita al área de RRHH, Gerencia a cargo del puesto, y al jefe inmediato.  En dicho correo debe indicar el nombre del colaborador, y hasta que fecha desea laborar. </w:t>
      </w:r>
      <w:r w:rsidR="00334E26" w:rsidRPr="00580B8C">
        <w:t xml:space="preserve">E indicarle al colaborador que quien tiene que recibirle la carta es el área de RRHH. </w:t>
      </w:r>
    </w:p>
    <w:p w:rsidR="00334E26" w:rsidRDefault="00334E26" w:rsidP="00334E26">
      <w:pPr>
        <w:pStyle w:val="Prrafodelista"/>
        <w:jc w:val="both"/>
      </w:pPr>
    </w:p>
    <w:p w:rsidR="00334E26" w:rsidRDefault="00334E26" w:rsidP="00D56F99">
      <w:pPr>
        <w:pStyle w:val="Prrafodelista"/>
        <w:numPr>
          <w:ilvl w:val="0"/>
          <w:numId w:val="22"/>
        </w:numPr>
        <w:jc w:val="both"/>
      </w:pPr>
      <w:r>
        <w:t xml:space="preserve">El sello de la recepción solo puede ser usado por la recepcionista, si sale de su sitio deberá dejarlo bajo llave el tiempo que este fuera de su lugar. </w:t>
      </w:r>
    </w:p>
    <w:p w:rsidR="00E911DA" w:rsidRDefault="00E911DA" w:rsidP="00E911DA"/>
    <w:p w:rsidR="00AF5365" w:rsidRDefault="00AF5365" w:rsidP="00E911DA"/>
    <w:sectPr w:rsidR="00AF5365" w:rsidSect="00FA7C96">
      <w:headerReference w:type="default" r:id="rId8"/>
      <w:pgSz w:w="11906" w:h="16838" w:code="9"/>
      <w:pgMar w:top="2516" w:right="1134" w:bottom="1135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74E" w:rsidRDefault="00B1474E">
      <w:r>
        <w:separator/>
      </w:r>
    </w:p>
  </w:endnote>
  <w:endnote w:type="continuationSeparator" w:id="0">
    <w:p w:rsidR="00B1474E" w:rsidRDefault="00B1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74E" w:rsidRDefault="00B1474E">
      <w:r>
        <w:separator/>
      </w:r>
    </w:p>
  </w:footnote>
  <w:footnote w:type="continuationSeparator" w:id="0">
    <w:p w:rsidR="00B1474E" w:rsidRDefault="00B14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306B3A" w:rsidTr="00306B3A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306B3A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306B3A" w:rsidRPr="00644FDC" w:rsidRDefault="00306B3A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306B3A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306B3A" w:rsidRPr="00644FDC" w:rsidRDefault="00306B3A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306B3A" w:rsidRPr="00F84164" w:rsidRDefault="00306B3A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1824" behindDoc="0" locked="0" layoutInCell="1" allowOverlap="1" wp14:anchorId="35EEA9B9" wp14:editId="1FF1DCD9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306B3A" w:rsidRDefault="00306B3A" w:rsidP="00306B3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306B3A" w:rsidRDefault="00306B3A" w:rsidP="00306B3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306B3A" w:rsidRDefault="00306B3A" w:rsidP="00306B3A">
          <w:pPr>
            <w:pStyle w:val="Encabezado"/>
            <w:rPr>
              <w:b/>
              <w:sz w:val="12"/>
            </w:rPr>
          </w:pPr>
          <w:r>
            <w:rPr>
              <w:b/>
              <w:sz w:val="12"/>
            </w:rPr>
            <w:t>PP1-AD-003</w:t>
          </w:r>
        </w:p>
      </w:tc>
    </w:tr>
    <w:tr w:rsidR="00306B3A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306B3A" w:rsidRDefault="00306B3A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306B3A" w:rsidRDefault="00306B3A" w:rsidP="00306B3A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306B3A" w:rsidRDefault="00D56F99" w:rsidP="00306B3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Edición 2</w:t>
          </w:r>
          <w:r w:rsidR="00306B3A">
            <w:rPr>
              <w:sz w:val="12"/>
            </w:rPr>
            <w:t xml:space="preserve">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306B3A" w:rsidRDefault="00D56F99" w:rsidP="00306B3A">
          <w:pPr>
            <w:pStyle w:val="Encabezado"/>
            <w:rPr>
              <w:b/>
              <w:sz w:val="12"/>
            </w:rPr>
          </w:pPr>
          <w:r>
            <w:rPr>
              <w:b/>
              <w:sz w:val="12"/>
            </w:rPr>
            <w:t>06/09/2016</w:t>
          </w:r>
        </w:p>
      </w:tc>
    </w:tr>
    <w:tr w:rsidR="00C73B6B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403DE4" w:rsidP="00C139B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403DE4" w:rsidP="00C139B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</w:t>
          </w:r>
        </w:p>
      </w:tc>
    </w:tr>
    <w:tr w:rsidR="00C73B6B" w:rsidTr="00306B3A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9D576A" w:rsidP="001837F9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ADMINISTRACION Y FINANZAS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47AB"/>
    <w:multiLevelType w:val="hybridMultilevel"/>
    <w:tmpl w:val="53041A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1301E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11824"/>
    <w:multiLevelType w:val="hybridMultilevel"/>
    <w:tmpl w:val="B85C53A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786C1E0F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16"/>
  </w:num>
  <w:num w:numId="6">
    <w:abstractNumId w:val="13"/>
  </w:num>
  <w:num w:numId="7">
    <w:abstractNumId w:val="9"/>
  </w:num>
  <w:num w:numId="8">
    <w:abstractNumId w:val="8"/>
  </w:num>
  <w:num w:numId="9">
    <w:abstractNumId w:val="19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18"/>
  </w:num>
  <w:num w:numId="15">
    <w:abstractNumId w:val="6"/>
  </w:num>
  <w:num w:numId="16">
    <w:abstractNumId w:val="14"/>
  </w:num>
  <w:num w:numId="17">
    <w:abstractNumId w:val="4"/>
  </w:num>
  <w:num w:numId="18">
    <w:abstractNumId w:val="11"/>
  </w:num>
  <w:num w:numId="19">
    <w:abstractNumId w:val="15"/>
  </w:num>
  <w:num w:numId="20">
    <w:abstractNumId w:val="20"/>
  </w:num>
  <w:num w:numId="21">
    <w:abstractNumId w:val="1"/>
  </w:num>
  <w:num w:numId="2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069CF"/>
    <w:rsid w:val="0001132B"/>
    <w:rsid w:val="00012CD4"/>
    <w:rsid w:val="000365E2"/>
    <w:rsid w:val="00072EF4"/>
    <w:rsid w:val="0007424B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11177B"/>
    <w:rsid w:val="001140F3"/>
    <w:rsid w:val="001178A2"/>
    <w:rsid w:val="001345AA"/>
    <w:rsid w:val="00143172"/>
    <w:rsid w:val="00144411"/>
    <w:rsid w:val="00145FB4"/>
    <w:rsid w:val="001649FF"/>
    <w:rsid w:val="00172444"/>
    <w:rsid w:val="00180D34"/>
    <w:rsid w:val="001833B6"/>
    <w:rsid w:val="001837F9"/>
    <w:rsid w:val="0019390E"/>
    <w:rsid w:val="001939CE"/>
    <w:rsid w:val="001949B1"/>
    <w:rsid w:val="001A172D"/>
    <w:rsid w:val="001A1853"/>
    <w:rsid w:val="001A3D1C"/>
    <w:rsid w:val="001A3DD2"/>
    <w:rsid w:val="001C1816"/>
    <w:rsid w:val="001D0278"/>
    <w:rsid w:val="001E03D0"/>
    <w:rsid w:val="001E18A5"/>
    <w:rsid w:val="001F1F97"/>
    <w:rsid w:val="001F6E53"/>
    <w:rsid w:val="001F758F"/>
    <w:rsid w:val="002139F4"/>
    <w:rsid w:val="00215418"/>
    <w:rsid w:val="0022003B"/>
    <w:rsid w:val="00221E68"/>
    <w:rsid w:val="002258F2"/>
    <w:rsid w:val="0023106C"/>
    <w:rsid w:val="0024739F"/>
    <w:rsid w:val="00267500"/>
    <w:rsid w:val="00277438"/>
    <w:rsid w:val="00280A21"/>
    <w:rsid w:val="0028315A"/>
    <w:rsid w:val="002901C6"/>
    <w:rsid w:val="002961B9"/>
    <w:rsid w:val="002A7837"/>
    <w:rsid w:val="002C5C3F"/>
    <w:rsid w:val="002D216D"/>
    <w:rsid w:val="002D4C1F"/>
    <w:rsid w:val="002E043B"/>
    <w:rsid w:val="002E130B"/>
    <w:rsid w:val="002E2961"/>
    <w:rsid w:val="002E6905"/>
    <w:rsid w:val="002E6908"/>
    <w:rsid w:val="002E761D"/>
    <w:rsid w:val="00306B3A"/>
    <w:rsid w:val="003104FA"/>
    <w:rsid w:val="00317610"/>
    <w:rsid w:val="0032250A"/>
    <w:rsid w:val="00323567"/>
    <w:rsid w:val="00333628"/>
    <w:rsid w:val="00334E26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7B89"/>
    <w:rsid w:val="00387CF5"/>
    <w:rsid w:val="003A6D74"/>
    <w:rsid w:val="003C1B55"/>
    <w:rsid w:val="003C4D1C"/>
    <w:rsid w:val="003C69B4"/>
    <w:rsid w:val="003D2E97"/>
    <w:rsid w:val="003D399C"/>
    <w:rsid w:val="003E3300"/>
    <w:rsid w:val="003E5542"/>
    <w:rsid w:val="003F2BED"/>
    <w:rsid w:val="003F756D"/>
    <w:rsid w:val="00402EB1"/>
    <w:rsid w:val="00403DE4"/>
    <w:rsid w:val="004043C1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397C"/>
    <w:rsid w:val="004651BC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7D61"/>
    <w:rsid w:val="00516A56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8027D"/>
    <w:rsid w:val="00580B8C"/>
    <w:rsid w:val="005810C0"/>
    <w:rsid w:val="00581FF0"/>
    <w:rsid w:val="005859A6"/>
    <w:rsid w:val="0059130D"/>
    <w:rsid w:val="00595BAE"/>
    <w:rsid w:val="005A0BF1"/>
    <w:rsid w:val="005A1BB0"/>
    <w:rsid w:val="005A61F7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02B36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66CD1"/>
    <w:rsid w:val="006859C0"/>
    <w:rsid w:val="00686686"/>
    <w:rsid w:val="00695011"/>
    <w:rsid w:val="0069742F"/>
    <w:rsid w:val="006A1052"/>
    <w:rsid w:val="006A23DE"/>
    <w:rsid w:val="006C1C21"/>
    <w:rsid w:val="006C3B7D"/>
    <w:rsid w:val="006C53FE"/>
    <w:rsid w:val="006F4953"/>
    <w:rsid w:val="006F53D8"/>
    <w:rsid w:val="006F5A0B"/>
    <w:rsid w:val="007151CF"/>
    <w:rsid w:val="00720B5B"/>
    <w:rsid w:val="00725690"/>
    <w:rsid w:val="00726397"/>
    <w:rsid w:val="0073196A"/>
    <w:rsid w:val="007322AE"/>
    <w:rsid w:val="00740EDB"/>
    <w:rsid w:val="00741303"/>
    <w:rsid w:val="00741717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7E490D"/>
    <w:rsid w:val="008030AF"/>
    <w:rsid w:val="00811375"/>
    <w:rsid w:val="00811826"/>
    <w:rsid w:val="008221BE"/>
    <w:rsid w:val="00826F36"/>
    <w:rsid w:val="00827260"/>
    <w:rsid w:val="008315BD"/>
    <w:rsid w:val="00833400"/>
    <w:rsid w:val="008362B2"/>
    <w:rsid w:val="00850B24"/>
    <w:rsid w:val="00861BED"/>
    <w:rsid w:val="00861D77"/>
    <w:rsid w:val="0086444F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33D0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5047"/>
    <w:rsid w:val="009336FD"/>
    <w:rsid w:val="00933C2C"/>
    <w:rsid w:val="00936ED2"/>
    <w:rsid w:val="009479F2"/>
    <w:rsid w:val="00962484"/>
    <w:rsid w:val="00972D9C"/>
    <w:rsid w:val="009735EE"/>
    <w:rsid w:val="009958D0"/>
    <w:rsid w:val="009A54FA"/>
    <w:rsid w:val="009B35FB"/>
    <w:rsid w:val="009B4B0D"/>
    <w:rsid w:val="009C08D7"/>
    <w:rsid w:val="009C2735"/>
    <w:rsid w:val="009C5DD3"/>
    <w:rsid w:val="009C63E3"/>
    <w:rsid w:val="009D0CAD"/>
    <w:rsid w:val="009D4DE9"/>
    <w:rsid w:val="009D576A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5892"/>
    <w:rsid w:val="00AA0A5C"/>
    <w:rsid w:val="00AB2BED"/>
    <w:rsid w:val="00AC20E9"/>
    <w:rsid w:val="00AD0373"/>
    <w:rsid w:val="00AD1537"/>
    <w:rsid w:val="00AE0812"/>
    <w:rsid w:val="00AE525C"/>
    <w:rsid w:val="00AF5365"/>
    <w:rsid w:val="00AF7BF4"/>
    <w:rsid w:val="00B01807"/>
    <w:rsid w:val="00B10F30"/>
    <w:rsid w:val="00B1474E"/>
    <w:rsid w:val="00B15A7A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D4F79"/>
    <w:rsid w:val="00BD57B6"/>
    <w:rsid w:val="00BD69A9"/>
    <w:rsid w:val="00BE193A"/>
    <w:rsid w:val="00BE4D23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0745"/>
    <w:rsid w:val="00C3416B"/>
    <w:rsid w:val="00C41323"/>
    <w:rsid w:val="00C65CCA"/>
    <w:rsid w:val="00C7323E"/>
    <w:rsid w:val="00C73B6B"/>
    <w:rsid w:val="00C7735F"/>
    <w:rsid w:val="00C775EB"/>
    <w:rsid w:val="00C80DC9"/>
    <w:rsid w:val="00C84D0F"/>
    <w:rsid w:val="00C84E92"/>
    <w:rsid w:val="00C870C6"/>
    <w:rsid w:val="00C871C4"/>
    <w:rsid w:val="00C946BA"/>
    <w:rsid w:val="00CD0115"/>
    <w:rsid w:val="00CD0D01"/>
    <w:rsid w:val="00CD7C14"/>
    <w:rsid w:val="00CE4F39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5939"/>
    <w:rsid w:val="00D5099B"/>
    <w:rsid w:val="00D56F99"/>
    <w:rsid w:val="00D73762"/>
    <w:rsid w:val="00D744F6"/>
    <w:rsid w:val="00D76240"/>
    <w:rsid w:val="00D82D84"/>
    <w:rsid w:val="00DA0F6D"/>
    <w:rsid w:val="00DA15AB"/>
    <w:rsid w:val="00DA307A"/>
    <w:rsid w:val="00DA4943"/>
    <w:rsid w:val="00DA4A80"/>
    <w:rsid w:val="00DB2B9E"/>
    <w:rsid w:val="00DB304D"/>
    <w:rsid w:val="00DC1680"/>
    <w:rsid w:val="00DC4B94"/>
    <w:rsid w:val="00DD5F7D"/>
    <w:rsid w:val="00DE0C4D"/>
    <w:rsid w:val="00DE31B4"/>
    <w:rsid w:val="00DF314B"/>
    <w:rsid w:val="00DF758E"/>
    <w:rsid w:val="00E25053"/>
    <w:rsid w:val="00E3022A"/>
    <w:rsid w:val="00E31A2A"/>
    <w:rsid w:val="00E33590"/>
    <w:rsid w:val="00E37B9B"/>
    <w:rsid w:val="00E402B0"/>
    <w:rsid w:val="00E478ED"/>
    <w:rsid w:val="00E502A8"/>
    <w:rsid w:val="00E52589"/>
    <w:rsid w:val="00E57A2D"/>
    <w:rsid w:val="00E60124"/>
    <w:rsid w:val="00E65FDD"/>
    <w:rsid w:val="00E67A26"/>
    <w:rsid w:val="00E714CD"/>
    <w:rsid w:val="00E73EED"/>
    <w:rsid w:val="00E86B34"/>
    <w:rsid w:val="00E911DA"/>
    <w:rsid w:val="00E927DE"/>
    <w:rsid w:val="00E97D83"/>
    <w:rsid w:val="00EA3684"/>
    <w:rsid w:val="00EA3F0B"/>
    <w:rsid w:val="00EA41A6"/>
    <w:rsid w:val="00EB0D04"/>
    <w:rsid w:val="00EB7ABD"/>
    <w:rsid w:val="00EC5AFC"/>
    <w:rsid w:val="00ED39FB"/>
    <w:rsid w:val="00ED3FAA"/>
    <w:rsid w:val="00ED6AA0"/>
    <w:rsid w:val="00ED71A1"/>
    <w:rsid w:val="00ED725B"/>
    <w:rsid w:val="00EE56E2"/>
    <w:rsid w:val="00EF7616"/>
    <w:rsid w:val="00F0575D"/>
    <w:rsid w:val="00F06CCB"/>
    <w:rsid w:val="00F07FBB"/>
    <w:rsid w:val="00F110A9"/>
    <w:rsid w:val="00F33BE0"/>
    <w:rsid w:val="00F35329"/>
    <w:rsid w:val="00F44F5B"/>
    <w:rsid w:val="00F500C1"/>
    <w:rsid w:val="00F53374"/>
    <w:rsid w:val="00F65069"/>
    <w:rsid w:val="00F726CA"/>
    <w:rsid w:val="00F749DD"/>
    <w:rsid w:val="00F81ACD"/>
    <w:rsid w:val="00F93D63"/>
    <w:rsid w:val="00F97544"/>
    <w:rsid w:val="00FA5130"/>
    <w:rsid w:val="00FA641A"/>
    <w:rsid w:val="00FA7C96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28D19-8D5E-4BD4-874E-F239D70D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933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Miguel Kikuchi</cp:lastModifiedBy>
  <cp:revision>11</cp:revision>
  <cp:lastPrinted>2016-12-23T20:42:00Z</cp:lastPrinted>
  <dcterms:created xsi:type="dcterms:W3CDTF">2015-10-16T21:04:00Z</dcterms:created>
  <dcterms:modified xsi:type="dcterms:W3CDTF">2016-12-23T20:42:00Z</dcterms:modified>
</cp:coreProperties>
</file>