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E" w:rsidRPr="00CC6CEE" w:rsidRDefault="00CC6CEE">
      <w:pPr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                                           </w:t>
      </w:r>
      <w:r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                 </w:t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>NORMAS LEGALES</w:t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                                        </w:t>
      </w:r>
      <w:r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                  </w:t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>NORMAS ASOCIADAS</w:t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       </w:t>
      </w:r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GJA-00.10: </w:t>
      </w:r>
      <w:bookmarkStart w:id="0" w:name="_GoBack"/>
      <w:r w:rsidRPr="00CC6CEE">
        <w:rPr>
          <w:rFonts w:ascii="Verdana" w:hAnsi="Verdana"/>
          <w:b/>
          <w:bCs/>
          <w:sz w:val="16"/>
          <w:szCs w:val="16"/>
          <w:shd w:val="clear" w:color="auto" w:fill="FFFFFF"/>
        </w:rPr>
        <w:t>LEY DE REINSERCIÓN ECONÓMICA Y SOCIAL PARA EL MIGRANTE RETORNADO</w:t>
      </w:r>
    </w:p>
    <w:bookmarkEnd w:id="0"/>
    <w:p w:rsidR="00CC6CEE" w:rsidRPr="00CC6CEE" w:rsidRDefault="00CC6CEE" w:rsidP="00CC6C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PE"/>
        </w:rPr>
      </w:pPr>
    </w:p>
    <w:tbl>
      <w:tblPr>
        <w:tblW w:w="5000" w:type="pct"/>
        <w:tblCellSpacing w:w="7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CC6CEE" w:rsidRPr="00CC6CEE" w:rsidTr="00CC6CEE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CC6CEE" w:rsidRPr="00CC6C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9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  <w:gridCol w:w="6833"/>
                  </w:tblGrid>
                  <w:tr w:rsidR="00CC6CEE" w:rsidRPr="00CC6CEE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shd w:val="clear" w:color="auto" w:fill="E1E4E8"/>
                        <w:hideMark/>
                      </w:tcPr>
                      <w:p w:rsidR="00CC6CEE" w:rsidRPr="00CC6CEE" w:rsidRDefault="00CC6CEE" w:rsidP="00CC6C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Cod.Doc:</w:t>
                        </w:r>
                        <w:r w:rsidRPr="00CC6C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  <w:t> </w:t>
                        </w: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GJA-00.10</w:t>
                        </w:r>
                      </w:p>
                    </w:tc>
                    <w:tc>
                      <w:tcPr>
                        <w:tcW w:w="4000" w:type="pct"/>
                        <w:shd w:val="clear" w:color="auto" w:fill="E1E4E8"/>
                        <w:vAlign w:val="center"/>
                        <w:hideMark/>
                      </w:tcPr>
                      <w:p w:rsidR="00CC6CEE" w:rsidRPr="00CC6CEE" w:rsidRDefault="00CC6CEE" w:rsidP="00CC6CE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 LEY DE REINSERCIÓN ECONÓMICA Y SOCIAL PARA EL MIGRANTE RETORNADO</w:t>
                        </w:r>
                      </w:p>
                    </w:tc>
                  </w:tr>
                  <w:tr w:rsidR="00CC6CEE" w:rsidRPr="00CC6CE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C6CEE" w:rsidRPr="00CC6CEE" w:rsidRDefault="00CC6CEE" w:rsidP="00CC6C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Versión:</w:t>
                        </w:r>
                        <w:r w:rsidRPr="00CC6C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6CEE" w:rsidRPr="00CC6CEE" w:rsidRDefault="00CC6CEE" w:rsidP="00CC6C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Publicación:</w:t>
                        </w:r>
                        <w:r w:rsidRPr="00CC6C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  <w:t> 14.03.2013</w:t>
                        </w:r>
                      </w:p>
                    </w:tc>
                  </w:tr>
                  <w:tr w:rsidR="00CC6CEE" w:rsidRPr="00CC6CE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C6CEE" w:rsidRPr="00CC6CEE" w:rsidRDefault="00CC6CEE" w:rsidP="00CC6C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Norma:</w:t>
                        </w:r>
                        <w:r w:rsidRPr="00CC6C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  <w:t> Ley Nº 30001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6CEE" w:rsidRPr="00CC6CEE" w:rsidRDefault="00CC6CEE" w:rsidP="00CC6C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</w:pPr>
                        <w:r w:rsidRPr="00CC6CE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s-PE"/>
                          </w:rPr>
                          <w:t>Vigencia:</w:t>
                        </w:r>
                        <w:r w:rsidRPr="00CC6CE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s-PE"/>
                          </w:rPr>
                          <w:t> 16.08.2013</w:t>
                        </w:r>
                      </w:p>
                    </w:tc>
                  </w:tr>
                </w:tbl>
                <w:p w:rsidR="00CC6CEE" w:rsidRPr="00CC6CEE" w:rsidRDefault="00CC6CEE" w:rsidP="00CC6C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</w:p>
              </w:tc>
            </w:tr>
          </w:tbl>
          <w:p w:rsidR="00CC6CEE" w:rsidRPr="00CC6CEE" w:rsidRDefault="00CC6CEE" w:rsidP="00CC6C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</w:tbl>
    <w:p w:rsidR="00CC6CEE" w:rsidRPr="00CC6CEE" w:rsidRDefault="00CC6CEE" w:rsidP="00CC6CE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es-P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CC6CEE" w:rsidRPr="00CC6CEE" w:rsidTr="00CC6CE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1"/>
            </w:tblGrid>
            <w:tr w:rsidR="00CC6CEE" w:rsidRPr="00CC6CE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        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1" w:name="Articulo7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1</w:t>
                  </w:r>
                  <w:bookmarkEnd w:id="1"/>
                  <w:proofErr w:type="gramStart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°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.-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 xml:space="preserve"> Objeto de la Ley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La presente Ley tiene por objeto facilitar el retorno de los peruanos que residen en el extranjero, independientemente de su situación migratoria, mediante incentivos y acciones que propicien su adecuada reinserción económica y social y que contribuyan con la generación de empleo productivo o propicien la transferencia de conocimiento y tecnología; teniendo en consideración la crisis económica internacional, situaciones de vulnerabilidad y el endurecimiento de las políticas </w:t>
                  </w:r>
                  <w:proofErr w:type="gramStart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migratorias.(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*)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(*) </w:t>
                  </w:r>
                  <w:hyperlink r:id="rId4" w:history="1">
                    <w:r w:rsidRPr="00CC6CEE">
                      <w:rPr>
                        <w:rFonts w:ascii="Verdana" w:eastAsia="Times New Roman" w:hAnsi="Verdana" w:cs="Arial"/>
                        <w:i/>
                        <w:iCs/>
                        <w:sz w:val="16"/>
                        <w:szCs w:val="16"/>
                        <w:lang w:eastAsia="es-PE"/>
                      </w:rPr>
                      <w:t>Artículo modificado por Ley 30525 del 15.12.2016</w:t>
                    </w:r>
                  </w:hyperlink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2" w:name="Articulo8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2</w:t>
                  </w:r>
                  <w:bookmarkEnd w:id="2"/>
                  <w:proofErr w:type="gramStart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°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.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- Requisitos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Podrán manifestar por escrito ante la autoridad competente en el exterior o en el interior del país su interés de acogerse a los beneficios tributarios contemplados en la presente Ley, en el plazo máximo de noventa (90) días hábiles antes o después de su fecha de ingreso al país: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a) Los peruanos que deseen retornar al Perú que hayan residido en el exterior sin interrupciones por un tiempo no menor de tres (3) años.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b) Los peruanos que hayan sido forzados a retornar por su condición migratoria por el Estado receptor y que hayan permanecido en el exterior sin interrupciones por dos (2) años.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En ambos casos, el cómputo para el plazo exigido en el exterior no será afectado por las visitas realizadas por dichos connacionales al Perú que no excedan </w:t>
                  </w:r>
                  <w:proofErr w:type="gramStart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los ciento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 ochenta (180) días calendario al año, sean estos consecutivos o alternados.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La autoridad competente expedirá una tarjeta que le permita al retornado solicitar los beneficios contemplados en la presente Ley. La solicitud de acogimiento a la presente Ley debe ser resuelta en un plazo no mayor de treinta (30) días hábiles. (*)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br/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(*) </w:t>
                  </w:r>
                  <w:hyperlink r:id="rId5" w:history="1">
                    <w:r w:rsidRPr="00CC6CEE">
                      <w:rPr>
                        <w:rFonts w:ascii="Verdana" w:eastAsia="Times New Roman" w:hAnsi="Verdana" w:cs="Arial"/>
                        <w:i/>
                        <w:iCs/>
                        <w:sz w:val="16"/>
                        <w:szCs w:val="16"/>
                        <w:lang w:eastAsia="es-PE"/>
                      </w:rPr>
                      <w:t>Artículo modificado por Ley 30525 del 15.12.2016</w:t>
                    </w:r>
                  </w:hyperlink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3" w:name="JD_L30001-a3"/>
                  <w:bookmarkEnd w:id="3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4" w:name="Articulo9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3</w:t>
                  </w:r>
                  <w:bookmarkEnd w:id="4"/>
                  <w:proofErr w:type="gramStart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°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.-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 xml:space="preserve"> Incentivos Tributarios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Los peruanos que se acojan a los beneficios tributarios de la presente Ley están liberados por única vez del pago de todo tributo que grave el internamiento en el país de los siguientes bienes: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a) Menaje de casa, conforme al Reglamento de Equipaje y Menaje de Casa, aprobado por Decreto Supremo 182-2013-EF, y las normas complementarias que se emitan para facilitar el retorno de los peruanos migrantes, hasta por cincuenta mil dólares americanos (USD 50 000,00).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b) Un (1) vehículo automotor, hasta por un máximo de cincuenta mil dólares americanos (USD 50 000,00), según la tabla de valores referenciales de la Superintendencia Nacional de Aduanas y de Administración Tributaria (SUNAT), siempre que se cumpla con los requisitos previstos en la normatividad vigente.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c) Instrumentos, maquinarias, equipos, bienes de capital y demás bienes que usen en el desempeño de su trabajo, profesión, oficio o actividad empresarial, hasta por un máximo de trescientos cincuenta mil dólares americanos (USD 350 000,00), siempre que presenten un perfil de proyecto destinado a un área productiva vinculada directamente al desarrollo de su trabajo, profesión, oficio o empresa que pretendan desarrollar en el país, o se trate de científicos o investigadores debidamente acreditados.(*)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br/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(*) </w:t>
                  </w:r>
                  <w:hyperlink r:id="rId6" w:history="1">
                    <w:r w:rsidRPr="00CC6CEE">
                      <w:rPr>
                        <w:rFonts w:ascii="Verdana" w:eastAsia="Times New Roman" w:hAnsi="Verdana" w:cs="Arial"/>
                        <w:i/>
                        <w:iCs/>
                        <w:sz w:val="16"/>
                        <w:szCs w:val="16"/>
                        <w:lang w:eastAsia="es-PE"/>
                      </w:rPr>
                      <w:t>Artículo modificado por Ley 30525 del 15.12.2016</w:t>
                    </w:r>
                  </w:hyperlink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Artículo 4. Información y orientación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4.1 El Ministerio de Relaciones Exteriores y sus respectivas misiones diplomáticas y consulares son los encargados de difundir los beneficios otorgados por la presente Ley, conjuntamente con las entidades vinculadas a la gestión migratoria en el país, a través de un servicio de orientación e información sobre los trámites de retorno para nuestros migrantes, así como sobre los incentivos y los programas de reinserción socioeconómica de la presente Ley para el retorno.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4.2 Los consulados fortalecen los registros de los peruanos que residen en el exterior, con actualizaciones periódicas, para poder informar y orientar al mayor número posible de connacionales en el extranjero.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5" w:name="JD_L30001-a5"/>
                  <w:bookmarkEnd w:id="5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Artículo 5. Medidas para la reinserción socioeconómica de los peruanos retornantes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Sin perjuicio de los incentivos señalados en el artículo 3, los peruanos retornantes y sus familias tienen derecho a solicitar apoyo y orientación de entidades del Estado en las áreas legal, educativa, de salud y de desarrollo económico, empresarial y laboral, a fin de facilitar su reinserción socioeconómica en el país.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De manera específica, el Estado peruano, a través de las entidades correspondientes: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a) Monitorea el proceso de reinserción socioeconómica de los peruanos retornantes en su aspecto multisectorial de reinserción laboral, educativa, familiar y social, entre otros componentes.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lastRenderedPageBreak/>
                    <w:t>b) Brinda el acceso a los servicios de capacitación para el trabajo y para el emprendimiento, entre otros servicios impulsados por la Ventanilla Única de Promoción del Empleo (VUPE); y al programa laboral Vamos Perú, del Ministerio de Trabajo y Promoción de Empleo (MTPE), con los requisitos correspondientes.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c) Facilita la certificación de las personas en lo referido a los procesos educativos de la educación básica, comunitaria, superior y técnico-productiva.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d) Facilita el reconocimiento académico en el sistema educativo nacional de los estudios efectuados en el exterior, así como también de los grados y títulos, diplomas o certificaciones obtenidos para el ejercicio profesional o técnico de los retornados, conforme a la normativa correspondiente, a los principios de simplificación administrativa y a los convenios celebrados por el Estado peruano. Asimismo, facilita la revalidación de grados y títulos obtenidos en el extranjero.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e) Brinda acceso a créditos educativos y a programas de becas de postgrado en el país y en el extranjero, así como a los programas de reinserción, a través de las becas de investigación a nivel postgrado, con los requisitos de postulación establecidos en las bases respectivas, en la Ley 29837, Ley que crea el Programa Nacional de Becas y Crédito Educativo (PRONABEC), y su reglamento.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f) Fortalece los mecanismos de reconocimiento de las competencias adquiridas a través de la experiencia laboral, mediante los servicios de certificación de competencias laborales que impulsa el Ministerio de Trabajo y Promoción del Empleo.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g) Brinda información y asesoría para facilitar el acceso al crédito a los migrantes retornados que quieran impulsar negocios en el país, así como orientación y capacitación en la implementación de los mismos.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h) Impulsa la capacitación y asistencia técnica a los migrantes retornados que quieran emprender microempresas.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i) Facilita, en el caso de los connacionales retornantes que provengan de países con los cuales el Perú haya suscrito convenios de seguridad social, el acceso a los beneficios derivados de tales acuerdos.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j) Facilita el acceso a las prestaciones de salud del régimen contributivo o </w:t>
                  </w:r>
                  <w:proofErr w:type="spellStart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semicontributivo</w:t>
                  </w:r>
                  <w:proofErr w:type="spellEnd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, conforme a la Ley 29344, Ley Marco de Aseguramiento Universal en Salud, y atendiendo a las características de los peruanos retornantes.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k) Orienta y facilita, mediante entidades como el Fondo MIVIVIENDA, a través de su programa “Mi Vivienda”, el acceso a la adquisición o mejoramiento de una vivienda digna para el migrante que retorna y su familia.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l) Facilita el canje de la licencia de conducir expedida en otro país por una clase y categoría equivalente.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m) Brinda atención psicológica y social al migrante y a su familia.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n) Propicia la celebración de convenios con el sector privado y la sociedad civil para facilitar programas productivos que faciliten el retorno y la reinserción social y económica del migrante.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ñ) Promueve políticas y programas para el retorno y permanencia de científicos e investigadores peruanos que radican en el extranjero.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Artículo 6. Acceso a programas sociales y/o régimen subsidiado de aseguramiento de salud para peruanos retornados en situación de vulnerabilidad socioeconómica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Los peruanos retornados que se encuentren en situación de vulnerabilidad económica tienen derecho a solicitar el apoyo y la orientación de las entidades del Estado para acceder a los programas sociales y al régimen subsidiado de aseguramiento de salud, ambos dirigidos a contrarrestar situaciones de vulnerabilidad socioeconómica, conforme a los requisitos de la normatividad vigente.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6" w:name="Articulo10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7</w:t>
                  </w:r>
                  <w:bookmarkEnd w:id="6"/>
                  <w:proofErr w:type="gramStart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°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.-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 xml:space="preserve"> Pérdida de beneficios tributarios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Los beneficiarios que se acojan a lo estipulado en el artículo 3 de la presente Ley, que transfieran, bajo cualquier modalidad, o cedan en uso a favor de terceras personas los bienes que hayan internado en el país en virtud de la presente Ley, o los adquirentes de dichos bienes, quedan obligados al pago de los tributos y los intereses correspondientes, si la transferencia se efectúa dentro de los tres (3) años siguientes a su internamiento. Los adquirentes están obligados al pago de los referidos conceptos en el caso de que el beneficiario no responda por dicha obligación.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Artículo 8. Exclusiones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Quedan excluidos de los beneficios establecidos en esta Ley: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a) Los peruanos que sufran condena por delito doloso.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b) Los peruanos que integren, promuevan o participen en organizaciones vinculadas con el terrorismo.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7" w:name="JD_L30001-a9"/>
                  <w:bookmarkEnd w:id="7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8" w:name="Articulo11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9</w:t>
                  </w:r>
                  <w:bookmarkEnd w:id="8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º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.- Coordinación intersectorial y acciones de supervisión y control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9.1 El Ministerio de Relaciones Exteriores, a través de la Dirección General de Comunidades Peruanas en el Exterior y Asuntos Consulares o de la dependencia que haga sus veces, coordina la política intersectorial de reinserción socioeconómica de los peruanos migrantes, así como su implementación, y efectúa las acciones de supervisión y control de los beneficios contemplados en los artículos 4 y 5 de la presente Ley en conjunto con los demás sectores vinculados a la gestión migratoria en el Perú y, en especial, de las entidades que integran la Comisión Multisectorial Permanente “Mesa de Trabajo Intersectorial para la Gestión Migratoria”, creada por Decreto Supremo 067-2011-PCM.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9.2 La Superintendencia Nacional de Aduanas y de Administración Tributaria (SUNAT) se encarga de las acciones de supervisión y control de lo dispuesto en la presente Ley en lo relativo a los incentivos tributarios.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9" w:name="JD_L30001-A10"/>
                  <w:bookmarkEnd w:id="9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10" w:name="Articulo12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Artículo 10</w:t>
                  </w:r>
                  <w:bookmarkEnd w:id="10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es-PE"/>
                    </w:rPr>
                    <w:t>º</w:t>
                  </w: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.- Vigencia de beneficios tributarios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Los incentivos tributarios contemplados en el artículo 3 de la presente Ley tienen una vigencia de tres (3) años, contados a partir de la fecha de su reglamentación, la cual es aprobada por decreto supremo refrendado por el Ministro de Economía y Finanzas.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En tanto no se dicte dicho reglamento, continúan vigentes los incentivos tributarios establecidos por la Ley 28182, Ley de Incentivos </w:t>
                  </w:r>
                  <w:proofErr w:type="gramStart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Migratorios.(</w:t>
                  </w:r>
                  <w:proofErr w:type="gramEnd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*)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(*) </w:t>
                  </w:r>
                  <w:hyperlink r:id="rId7" w:history="1">
                    <w:r w:rsidRPr="00CC6CEE">
                      <w:rPr>
                        <w:rFonts w:ascii="Verdana" w:eastAsia="Times New Roman" w:hAnsi="Verdana" w:cs="Arial"/>
                        <w:i/>
                        <w:iCs/>
                        <w:sz w:val="16"/>
                        <w:szCs w:val="16"/>
                        <w:lang w:eastAsia="es-PE"/>
                      </w:rPr>
                      <w:t>Artículo derogado por Ley 30525 del 15.12.2016</w:t>
                    </w:r>
                  </w:hyperlink>
                </w:p>
                <w:p w:rsidR="00CC6CEE" w:rsidRPr="00CC6CEE" w:rsidRDefault="00CC6CEE" w:rsidP="00CC6C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lastRenderedPageBreak/>
                    <w:t>DISPOSICIÓN COMPLEMENTARIA TRANSITORIA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11" w:name="JD_L30001-udct"/>
                  <w:bookmarkEnd w:id="11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ÚNICA. Procedimientos en trámite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Las solicitudes de incentivos tributarios efectuadas al amparo de la Ley 28182, Ley de Incentivos Migratorios, que no hayan obtenido pronunciamiento a la entrada en vigencia del reglamento a que se refiere el artículo 10 de la presente Ley, continúan con su trámite hasta su término, bajo dicho marco normativo, sin perjuicio del derecho del solicitante a desistirse del procedimiento para adecuarse a lo previsto en la presente Ley.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DISPOSICIONES COMPLEMENTARIAS FINALES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PRIMERA. Política pública migratoria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Se considera de preferente interés nacional la formulación de una política de gestión migratoria que tenga como finalidad la protección de los trabajadores migrantes y sus familias en las distintas fases del proceso migratorio, para lo cual se expedirán las disposiciones legales pertinentes.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SEGUNDA. Información sobre los peruanos en el exterior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El Poder Ejecutivo realiza censos para contar con información sobre el número de peruanos que residen en el exterior, independientemente de su situación migratoria, debiendo informar anualmente a la Comisión de Relaciones Exteriores y a la Comisión de Economía, Banca, Finanzas e Inteligencia Financiera del Congreso de la República sobre dicha contabilidad.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TERCERA. Financiamiento excepcional para programas sociales, programa laboral Vamos Perú y régimen subsidiado de aseguramiento de salud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El Poder Ejecutivo, mediante decreto supremo refrendado por el Ministro de Economía y Finanzas y el ministro del sector respectivo, otorga recursos adicionales a los programas sociales, así como al régimen subsidiado de aseguramiento de salud y al programa laboral Vamos Perú, siempre que los recursos asignados a los pliegos correspondientes, a cargo de los mencionados programas, hayan resultado insuficientes para el acceso a los mismos por parte de los peruanos retornantes.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 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CUARTA. Reglamento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El Poder Ejecutivo, mediante decreto supremo refrendado por el Presidente del Consejo de Ministros, el Ministro de Relaciones Exteriores, el Ministro de Economía y Finanzas, el Ministro de Trabajo y Promoción del Empleo, el Ministro de Educación, el Ministro de Salud, el Ministro de Desarrollo e Inclusión Social, el Ministro de la Producción y el Ministro de Vivienda, Construcción y Saneamiento, reglamenta la presente Ley en un plazo que no excede de sesenta (60) días hábiles, contados a partir del día siguiente de su publicación.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DISPOSICIÓN COMPLEMENTARIA DEROGATORIA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bookmarkStart w:id="12" w:name="JD_L30001-udcd"/>
                  <w:bookmarkEnd w:id="12"/>
                  <w:r w:rsidRPr="00CC6CE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ÚNICA. Derogación</w:t>
                  </w:r>
                </w:p>
                <w:p w:rsidR="00CC6CEE" w:rsidRPr="00CC6CEE" w:rsidRDefault="00CC6CEE" w:rsidP="00CC6CE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</w:pPr>
                  <w:proofErr w:type="spellStart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>Deróganse</w:t>
                  </w:r>
                  <w:proofErr w:type="spellEnd"/>
                  <w:r w:rsidRPr="00CC6CEE">
                    <w:rPr>
                      <w:rFonts w:ascii="Arial" w:eastAsia="Times New Roman" w:hAnsi="Arial" w:cs="Arial"/>
                      <w:sz w:val="16"/>
                      <w:szCs w:val="16"/>
                      <w:lang w:eastAsia="es-PE"/>
                    </w:rPr>
                    <w:t xml:space="preserve"> la Ley 28182, Ley de Incentivos Migratorios, y la Ley 29508, Ley que Restablece la Vigencia de la Ley 28182, Ley de Incentivos Migratorios, así como otras disposiciones que se opongan a la presente Ley, sin perjuicio de lo dispuesto en el segundo</w:t>
                  </w:r>
                </w:p>
              </w:tc>
            </w:tr>
          </w:tbl>
          <w:p w:rsidR="00CC6CEE" w:rsidRPr="00CC6CEE" w:rsidRDefault="00CC6CEE" w:rsidP="00CC6C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</w:tbl>
    <w:p w:rsidR="00CC6CEE" w:rsidRDefault="00CC6CEE"/>
    <w:sectPr w:rsidR="00CC6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EE"/>
    <w:rsid w:val="00450D16"/>
    <w:rsid w:val="00CC6CEE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CC47"/>
  <w15:chartTrackingRefBased/>
  <w15:docId w15:val="{18EC52F5-A7D9-47A5-9079-C0A9987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uto-style4">
    <w:name w:val="auto-style4"/>
    <w:basedOn w:val="Normal"/>
    <w:rsid w:val="00C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C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2">
    <w:name w:val="auto-style12"/>
    <w:basedOn w:val="Fuentedeprrafopredeter"/>
    <w:rsid w:val="00CC6CEE"/>
  </w:style>
  <w:style w:type="character" w:styleId="nfasis">
    <w:name w:val="Emphasis"/>
    <w:basedOn w:val="Fuentedeprrafopredeter"/>
    <w:uiPriority w:val="20"/>
    <w:qFormat/>
    <w:rsid w:val="00CC6CEE"/>
    <w:rPr>
      <w:i/>
      <w:iCs/>
    </w:rPr>
  </w:style>
  <w:style w:type="paragraph" w:customStyle="1" w:styleId="auto-style13">
    <w:name w:val="auto-style13"/>
    <w:basedOn w:val="Normal"/>
    <w:rsid w:val="00C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C6CEE"/>
    <w:rPr>
      <w:b/>
      <w:bCs/>
    </w:rPr>
  </w:style>
  <w:style w:type="character" w:customStyle="1" w:styleId="auto-style3">
    <w:name w:val="auto-style3"/>
    <w:basedOn w:val="Fuentedeprrafopredeter"/>
    <w:rsid w:val="00CC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nat.gob.pe/legislacion/procedim/normasadua/normasociada/gja-00.10/ctrlCambios/cc-gja-00.10-30525-15-12-201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at.gob.pe/legislacion/procedim/normasadua/normasociada/gja-00.10/ctrlCambios/cc-gja-00.10-30525_3-15-12-2016.htm" TargetMode="External"/><Relationship Id="rId5" Type="http://schemas.openxmlformats.org/officeDocument/2006/relationships/hyperlink" Target="http://www.sunat.gob.pe/legislacion/procedim/normasadua/normasociada/gja-00.10/ctrlCambios/cc-gja-00.10-30525_2-15-12-2016.htm" TargetMode="External"/><Relationship Id="rId4" Type="http://schemas.openxmlformats.org/officeDocument/2006/relationships/hyperlink" Target="http://www.sunat.gob.pe/legislacion/procedim/normasadua/normasociada/gja-00.10/ctrlCambios/cc-gja-00.10-30525_1-15-12-2016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2194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Arana</dc:creator>
  <cp:keywords/>
  <dc:description/>
  <cp:lastModifiedBy>Alexandra Arana</cp:lastModifiedBy>
  <cp:revision>1</cp:revision>
  <dcterms:created xsi:type="dcterms:W3CDTF">2018-02-20T14:20:00Z</dcterms:created>
  <dcterms:modified xsi:type="dcterms:W3CDTF">2018-02-20T14:28:00Z</dcterms:modified>
</cp:coreProperties>
</file>