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22" w:rsidRPr="00F47708" w:rsidRDefault="00F47708">
      <w:pPr>
        <w:rPr>
          <w:rFonts w:ascii="Verdana" w:hAnsi="Verdana"/>
          <w:b/>
          <w:bCs/>
          <w:sz w:val="15"/>
          <w:szCs w:val="15"/>
          <w:shd w:val="clear" w:color="auto" w:fill="FFFFFF"/>
        </w:rPr>
      </w:pPr>
      <w:r w:rsidRPr="00F47708">
        <w:rPr>
          <w:rFonts w:ascii="Verdana" w:hAnsi="Verdana"/>
          <w:b/>
          <w:bCs/>
          <w:sz w:val="15"/>
          <w:szCs w:val="15"/>
          <w:shd w:val="clear" w:color="auto" w:fill="FFFFFF"/>
        </w:rPr>
        <w:t xml:space="preserve">                                                                     </w:t>
      </w:r>
      <w:r w:rsidRPr="00F47708">
        <w:rPr>
          <w:rFonts w:ascii="Verdana" w:hAnsi="Verdana"/>
          <w:b/>
          <w:bCs/>
          <w:sz w:val="15"/>
          <w:szCs w:val="15"/>
          <w:shd w:val="clear" w:color="auto" w:fill="FFFFFF"/>
        </w:rPr>
        <w:t>NORMAS LEGALES</w:t>
      </w:r>
      <w:r w:rsidRPr="00F47708">
        <w:rPr>
          <w:rFonts w:ascii="Verdana" w:hAnsi="Verdana"/>
          <w:b/>
          <w:bCs/>
          <w:sz w:val="15"/>
          <w:szCs w:val="15"/>
          <w:shd w:val="clear" w:color="auto" w:fill="FFFFFF"/>
        </w:rPr>
        <w:br/>
      </w:r>
      <w:r w:rsidRPr="00F47708">
        <w:rPr>
          <w:rFonts w:ascii="Verdana" w:hAnsi="Verdana"/>
          <w:b/>
          <w:bCs/>
          <w:sz w:val="15"/>
          <w:szCs w:val="15"/>
          <w:shd w:val="clear" w:color="auto" w:fill="FFFFFF"/>
        </w:rPr>
        <w:t xml:space="preserve">                                                                   </w:t>
      </w:r>
      <w:r w:rsidRPr="00F47708">
        <w:rPr>
          <w:rFonts w:ascii="Verdana" w:hAnsi="Verdana"/>
          <w:b/>
          <w:bCs/>
          <w:sz w:val="15"/>
          <w:szCs w:val="15"/>
          <w:shd w:val="clear" w:color="auto" w:fill="FFFFFF"/>
        </w:rPr>
        <w:t>NORMAS ASOCIADAS</w:t>
      </w:r>
      <w:r w:rsidRPr="00F47708">
        <w:rPr>
          <w:rFonts w:ascii="Verdana" w:hAnsi="Verdana"/>
          <w:b/>
          <w:bCs/>
          <w:sz w:val="15"/>
          <w:szCs w:val="15"/>
          <w:shd w:val="clear" w:color="auto" w:fill="FFFFFF"/>
        </w:rPr>
        <w:br/>
      </w:r>
      <w:r w:rsidRPr="00F47708">
        <w:rPr>
          <w:rFonts w:ascii="Verdana" w:hAnsi="Verdana"/>
          <w:b/>
          <w:bCs/>
          <w:sz w:val="15"/>
          <w:szCs w:val="15"/>
          <w:shd w:val="clear" w:color="auto" w:fill="FFFFFF"/>
        </w:rPr>
        <w:t xml:space="preserve">                                           </w:t>
      </w:r>
      <w:r w:rsidRPr="00F47708">
        <w:rPr>
          <w:rFonts w:ascii="Verdana" w:hAnsi="Verdana"/>
          <w:b/>
          <w:bCs/>
          <w:sz w:val="15"/>
          <w:szCs w:val="15"/>
          <w:shd w:val="clear" w:color="auto" w:fill="FFFFFF"/>
        </w:rPr>
        <w:t xml:space="preserve">GJA-00.12: </w:t>
      </w:r>
      <w:bookmarkStart w:id="0" w:name="_GoBack"/>
      <w:r w:rsidRPr="00F47708">
        <w:rPr>
          <w:rFonts w:ascii="Verdana" w:hAnsi="Verdana"/>
          <w:b/>
          <w:bCs/>
          <w:sz w:val="15"/>
          <w:szCs w:val="15"/>
          <w:shd w:val="clear" w:color="auto" w:fill="FFFFFF"/>
        </w:rPr>
        <w:t>LEY DEL SILENCIO ADMINISTRATIVO</w:t>
      </w:r>
      <w:bookmarkEnd w:id="0"/>
    </w:p>
    <w:p w:rsidR="00F47708" w:rsidRPr="00F47708" w:rsidRDefault="00F47708">
      <w:pPr>
        <w:rPr>
          <w:rFonts w:ascii="Verdana" w:hAnsi="Verdana"/>
          <w:b/>
          <w:bCs/>
          <w:sz w:val="15"/>
          <w:szCs w:val="15"/>
          <w:shd w:val="clear" w:color="auto" w:fill="FFFFFF"/>
        </w:rPr>
      </w:pPr>
    </w:p>
    <w:tbl>
      <w:tblPr>
        <w:tblW w:w="5000" w:type="pct"/>
        <w:tblCellSpacing w:w="7" w:type="dxa"/>
        <w:shd w:val="clear" w:color="auto" w:fill="336699"/>
        <w:tblCellMar>
          <w:left w:w="0" w:type="dxa"/>
          <w:right w:w="0" w:type="dxa"/>
        </w:tblCellMar>
        <w:tblLook w:val="04A0" w:firstRow="1" w:lastRow="0" w:firstColumn="1" w:lastColumn="0" w:noHBand="0" w:noVBand="1"/>
      </w:tblPr>
      <w:tblGrid>
        <w:gridCol w:w="8838"/>
      </w:tblGrid>
      <w:tr w:rsidR="00F47708" w:rsidRPr="00F47708" w:rsidTr="00F47708">
        <w:trPr>
          <w:tblCellSpacing w:w="7" w:type="dxa"/>
        </w:trPr>
        <w:tc>
          <w:tcPr>
            <w:tcW w:w="5000" w:type="pct"/>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810"/>
            </w:tblGrid>
            <w:tr w:rsidR="00F47708" w:rsidRPr="00F47708">
              <w:trPr>
                <w:tblCellSpacing w:w="0" w:type="dxa"/>
              </w:trPr>
              <w:tc>
                <w:tcPr>
                  <w:tcW w:w="0" w:type="auto"/>
                  <w:hideMark/>
                </w:tcPr>
                <w:tbl>
                  <w:tblPr>
                    <w:tblW w:w="4900" w:type="pct"/>
                    <w:tblCellSpacing w:w="15" w:type="dxa"/>
                    <w:tblCellMar>
                      <w:left w:w="0" w:type="dxa"/>
                      <w:right w:w="0" w:type="dxa"/>
                    </w:tblCellMar>
                    <w:tblLook w:val="04A0" w:firstRow="1" w:lastRow="0" w:firstColumn="1" w:lastColumn="0" w:noHBand="0" w:noVBand="1"/>
                  </w:tblPr>
                  <w:tblGrid>
                    <w:gridCol w:w="1742"/>
                    <w:gridCol w:w="6833"/>
                  </w:tblGrid>
                  <w:tr w:rsidR="00F47708" w:rsidRPr="00F47708">
                    <w:trPr>
                      <w:tblCellSpacing w:w="15" w:type="dxa"/>
                    </w:trPr>
                    <w:tc>
                      <w:tcPr>
                        <w:tcW w:w="1000" w:type="pct"/>
                        <w:shd w:val="clear" w:color="auto" w:fill="E1E4E8"/>
                        <w:hideMark/>
                      </w:tcPr>
                      <w:p w:rsidR="00F47708" w:rsidRPr="00F47708" w:rsidRDefault="00F47708" w:rsidP="00F47708">
                        <w:pPr>
                          <w:spacing w:after="0" w:line="240" w:lineRule="auto"/>
                          <w:rPr>
                            <w:rFonts w:ascii="Arial" w:eastAsia="Times New Roman" w:hAnsi="Arial" w:cs="Arial"/>
                            <w:sz w:val="17"/>
                            <w:szCs w:val="17"/>
                            <w:lang w:eastAsia="es-PE"/>
                          </w:rPr>
                        </w:pPr>
                        <w:r w:rsidRPr="00F47708">
                          <w:rPr>
                            <w:rFonts w:ascii="Arial" w:eastAsia="Times New Roman" w:hAnsi="Arial" w:cs="Arial"/>
                            <w:b/>
                            <w:bCs/>
                            <w:sz w:val="17"/>
                            <w:szCs w:val="17"/>
                            <w:lang w:eastAsia="es-PE"/>
                          </w:rPr>
                          <w:t>Cod.Doc</w:t>
                        </w:r>
                        <w:r w:rsidRPr="00F47708">
                          <w:rPr>
                            <w:rFonts w:ascii="Arial" w:eastAsia="Times New Roman" w:hAnsi="Arial" w:cs="Arial"/>
                            <w:b/>
                            <w:bCs/>
                            <w:sz w:val="15"/>
                            <w:szCs w:val="15"/>
                            <w:lang w:eastAsia="es-PE"/>
                          </w:rPr>
                          <w:t>:</w:t>
                        </w:r>
                        <w:r w:rsidRPr="00F47708">
                          <w:rPr>
                            <w:rFonts w:ascii="Arial" w:eastAsia="Times New Roman" w:hAnsi="Arial" w:cs="Arial"/>
                            <w:sz w:val="15"/>
                            <w:szCs w:val="15"/>
                            <w:lang w:eastAsia="es-PE"/>
                          </w:rPr>
                          <w:t> </w:t>
                        </w:r>
                        <w:r w:rsidRPr="00F47708">
                          <w:rPr>
                            <w:rFonts w:ascii="Arial" w:eastAsia="Times New Roman" w:hAnsi="Arial" w:cs="Arial"/>
                            <w:b/>
                            <w:bCs/>
                            <w:sz w:val="15"/>
                            <w:szCs w:val="15"/>
                            <w:lang w:eastAsia="es-PE"/>
                          </w:rPr>
                          <w:t>GJA-00.12</w:t>
                        </w:r>
                      </w:p>
                    </w:tc>
                    <w:tc>
                      <w:tcPr>
                        <w:tcW w:w="4000" w:type="pct"/>
                        <w:shd w:val="clear" w:color="auto" w:fill="E1E4E8"/>
                        <w:vAlign w:val="center"/>
                        <w:hideMark/>
                      </w:tcPr>
                      <w:p w:rsidR="00F47708" w:rsidRPr="00F47708" w:rsidRDefault="00F47708" w:rsidP="00F47708">
                        <w:pPr>
                          <w:spacing w:after="0" w:line="240" w:lineRule="auto"/>
                          <w:rPr>
                            <w:rFonts w:ascii="Arial" w:eastAsia="Times New Roman" w:hAnsi="Arial" w:cs="Arial"/>
                            <w:sz w:val="17"/>
                            <w:szCs w:val="17"/>
                            <w:lang w:eastAsia="es-PE"/>
                          </w:rPr>
                        </w:pPr>
                        <w:r w:rsidRPr="00F47708">
                          <w:rPr>
                            <w:rFonts w:ascii="Arial" w:eastAsia="Times New Roman" w:hAnsi="Arial" w:cs="Arial"/>
                            <w:b/>
                            <w:bCs/>
                            <w:sz w:val="17"/>
                            <w:szCs w:val="17"/>
                            <w:lang w:eastAsia="es-PE"/>
                          </w:rPr>
                          <w:t> LEY DELSILENCIO ADMINISTRATIVO</w:t>
                        </w:r>
                      </w:p>
                    </w:tc>
                  </w:tr>
                  <w:tr w:rsidR="00F47708" w:rsidRPr="00F47708">
                    <w:trPr>
                      <w:tblCellSpacing w:w="15" w:type="dxa"/>
                    </w:trPr>
                    <w:tc>
                      <w:tcPr>
                        <w:tcW w:w="0" w:type="auto"/>
                        <w:hideMark/>
                      </w:tcPr>
                      <w:p w:rsidR="00F47708" w:rsidRPr="00F47708" w:rsidRDefault="00F47708" w:rsidP="00F47708">
                        <w:pPr>
                          <w:spacing w:after="0" w:line="240" w:lineRule="auto"/>
                          <w:rPr>
                            <w:rFonts w:ascii="Arial" w:eastAsia="Times New Roman" w:hAnsi="Arial" w:cs="Arial"/>
                            <w:sz w:val="17"/>
                            <w:szCs w:val="17"/>
                            <w:lang w:eastAsia="es-PE"/>
                          </w:rPr>
                        </w:pPr>
                        <w:r w:rsidRPr="00F47708">
                          <w:rPr>
                            <w:rFonts w:ascii="Arial" w:eastAsia="Times New Roman" w:hAnsi="Arial" w:cs="Arial"/>
                            <w:b/>
                            <w:bCs/>
                            <w:sz w:val="17"/>
                            <w:szCs w:val="17"/>
                            <w:lang w:eastAsia="es-PE"/>
                          </w:rPr>
                          <w:t>Versión</w:t>
                        </w:r>
                        <w:r w:rsidRPr="00F47708">
                          <w:rPr>
                            <w:rFonts w:ascii="Arial" w:eastAsia="Times New Roman" w:hAnsi="Arial" w:cs="Arial"/>
                            <w:b/>
                            <w:bCs/>
                            <w:sz w:val="15"/>
                            <w:szCs w:val="15"/>
                            <w:lang w:eastAsia="es-PE"/>
                          </w:rPr>
                          <w:t>:</w:t>
                        </w:r>
                        <w:r w:rsidRPr="00F47708">
                          <w:rPr>
                            <w:rFonts w:ascii="Arial" w:eastAsia="Times New Roman" w:hAnsi="Arial" w:cs="Arial"/>
                            <w:sz w:val="15"/>
                            <w:szCs w:val="15"/>
                            <w:lang w:eastAsia="es-PE"/>
                          </w:rPr>
                          <w:t> 1</w:t>
                        </w:r>
                      </w:p>
                    </w:tc>
                    <w:tc>
                      <w:tcPr>
                        <w:tcW w:w="0" w:type="auto"/>
                        <w:vAlign w:val="center"/>
                        <w:hideMark/>
                      </w:tcPr>
                      <w:p w:rsidR="00F47708" w:rsidRPr="00F47708" w:rsidRDefault="00F47708" w:rsidP="00F47708">
                        <w:pPr>
                          <w:spacing w:after="0" w:line="240" w:lineRule="auto"/>
                          <w:rPr>
                            <w:rFonts w:ascii="Arial" w:eastAsia="Times New Roman" w:hAnsi="Arial" w:cs="Arial"/>
                            <w:sz w:val="17"/>
                            <w:szCs w:val="17"/>
                            <w:lang w:eastAsia="es-PE"/>
                          </w:rPr>
                        </w:pPr>
                        <w:r w:rsidRPr="00F47708">
                          <w:rPr>
                            <w:rFonts w:ascii="Arial" w:eastAsia="Times New Roman" w:hAnsi="Arial" w:cs="Arial"/>
                            <w:b/>
                            <w:bCs/>
                            <w:sz w:val="17"/>
                            <w:szCs w:val="17"/>
                            <w:lang w:eastAsia="es-PE"/>
                          </w:rPr>
                          <w:t>Publicación</w:t>
                        </w:r>
                        <w:r w:rsidRPr="00F47708">
                          <w:rPr>
                            <w:rFonts w:ascii="Arial" w:eastAsia="Times New Roman" w:hAnsi="Arial" w:cs="Arial"/>
                            <w:b/>
                            <w:bCs/>
                            <w:sz w:val="15"/>
                            <w:szCs w:val="15"/>
                            <w:lang w:eastAsia="es-PE"/>
                          </w:rPr>
                          <w:t>:</w:t>
                        </w:r>
                        <w:r w:rsidRPr="00F47708">
                          <w:rPr>
                            <w:rFonts w:ascii="Arial" w:eastAsia="Times New Roman" w:hAnsi="Arial" w:cs="Arial"/>
                            <w:sz w:val="15"/>
                            <w:szCs w:val="15"/>
                            <w:lang w:eastAsia="es-PE"/>
                          </w:rPr>
                          <w:t> 07.07.2007</w:t>
                        </w:r>
                      </w:p>
                    </w:tc>
                  </w:tr>
                  <w:tr w:rsidR="00F47708" w:rsidRPr="00F47708">
                    <w:trPr>
                      <w:tblCellSpacing w:w="15" w:type="dxa"/>
                    </w:trPr>
                    <w:tc>
                      <w:tcPr>
                        <w:tcW w:w="0" w:type="auto"/>
                        <w:hideMark/>
                      </w:tcPr>
                      <w:p w:rsidR="00F47708" w:rsidRPr="00F47708" w:rsidRDefault="00F47708" w:rsidP="00F47708">
                        <w:pPr>
                          <w:spacing w:after="0" w:line="240" w:lineRule="auto"/>
                          <w:rPr>
                            <w:rFonts w:ascii="Arial" w:eastAsia="Times New Roman" w:hAnsi="Arial" w:cs="Arial"/>
                            <w:sz w:val="17"/>
                            <w:szCs w:val="17"/>
                            <w:lang w:eastAsia="es-PE"/>
                          </w:rPr>
                        </w:pPr>
                        <w:r w:rsidRPr="00F47708">
                          <w:rPr>
                            <w:rFonts w:ascii="Arial" w:eastAsia="Times New Roman" w:hAnsi="Arial" w:cs="Arial"/>
                            <w:b/>
                            <w:bCs/>
                            <w:sz w:val="17"/>
                            <w:szCs w:val="17"/>
                            <w:lang w:eastAsia="es-PE"/>
                          </w:rPr>
                          <w:t>Norma</w:t>
                        </w:r>
                        <w:r w:rsidRPr="00F47708">
                          <w:rPr>
                            <w:rFonts w:ascii="Arial" w:eastAsia="Times New Roman" w:hAnsi="Arial" w:cs="Arial"/>
                            <w:b/>
                            <w:bCs/>
                            <w:sz w:val="15"/>
                            <w:szCs w:val="15"/>
                            <w:lang w:eastAsia="es-PE"/>
                          </w:rPr>
                          <w:t>:</w:t>
                        </w:r>
                        <w:r w:rsidRPr="00F47708">
                          <w:rPr>
                            <w:rFonts w:ascii="Arial" w:eastAsia="Times New Roman" w:hAnsi="Arial" w:cs="Arial"/>
                            <w:sz w:val="15"/>
                            <w:szCs w:val="15"/>
                            <w:lang w:eastAsia="es-PE"/>
                          </w:rPr>
                          <w:t> Ley</w:t>
                        </w:r>
                        <w:r w:rsidRPr="00F47708">
                          <w:rPr>
                            <w:rFonts w:ascii="Arial" w:eastAsia="Times New Roman" w:hAnsi="Arial" w:cs="Arial"/>
                            <w:sz w:val="17"/>
                            <w:szCs w:val="17"/>
                            <w:lang w:eastAsia="es-PE"/>
                          </w:rPr>
                          <w:t> N°29060</w:t>
                        </w:r>
                      </w:p>
                    </w:tc>
                    <w:tc>
                      <w:tcPr>
                        <w:tcW w:w="0" w:type="auto"/>
                        <w:vAlign w:val="center"/>
                        <w:hideMark/>
                      </w:tcPr>
                      <w:p w:rsidR="00F47708" w:rsidRPr="00F47708" w:rsidRDefault="00F47708" w:rsidP="00F47708">
                        <w:pPr>
                          <w:spacing w:after="0" w:line="240" w:lineRule="auto"/>
                          <w:rPr>
                            <w:rFonts w:ascii="Arial" w:eastAsia="Times New Roman" w:hAnsi="Arial" w:cs="Arial"/>
                            <w:sz w:val="17"/>
                            <w:szCs w:val="17"/>
                            <w:lang w:eastAsia="es-PE"/>
                          </w:rPr>
                        </w:pPr>
                        <w:r w:rsidRPr="00F47708">
                          <w:rPr>
                            <w:rFonts w:ascii="Arial" w:eastAsia="Times New Roman" w:hAnsi="Arial" w:cs="Arial"/>
                            <w:b/>
                            <w:bCs/>
                            <w:sz w:val="17"/>
                            <w:szCs w:val="17"/>
                            <w:lang w:eastAsia="es-PE"/>
                          </w:rPr>
                          <w:t>Vigencia</w:t>
                        </w:r>
                        <w:r w:rsidRPr="00F47708">
                          <w:rPr>
                            <w:rFonts w:ascii="Arial" w:eastAsia="Times New Roman" w:hAnsi="Arial" w:cs="Arial"/>
                            <w:b/>
                            <w:bCs/>
                            <w:sz w:val="15"/>
                            <w:szCs w:val="15"/>
                            <w:lang w:eastAsia="es-PE"/>
                          </w:rPr>
                          <w:t>:</w:t>
                        </w:r>
                        <w:r w:rsidRPr="00F47708">
                          <w:rPr>
                            <w:rFonts w:ascii="Arial" w:eastAsia="Times New Roman" w:hAnsi="Arial" w:cs="Arial"/>
                            <w:sz w:val="15"/>
                            <w:szCs w:val="15"/>
                            <w:lang w:eastAsia="es-PE"/>
                          </w:rPr>
                          <w:t> 02.01.2008</w:t>
                        </w:r>
                      </w:p>
                    </w:tc>
                  </w:tr>
                </w:tbl>
                <w:p w:rsidR="00F47708" w:rsidRPr="00F47708" w:rsidRDefault="00F47708" w:rsidP="00F47708">
                  <w:pPr>
                    <w:spacing w:after="0" w:line="240" w:lineRule="auto"/>
                    <w:rPr>
                      <w:rFonts w:ascii="Arial" w:eastAsia="Times New Roman" w:hAnsi="Arial" w:cs="Arial"/>
                      <w:sz w:val="17"/>
                      <w:szCs w:val="17"/>
                      <w:lang w:eastAsia="es-PE"/>
                    </w:rPr>
                  </w:pPr>
                </w:p>
              </w:tc>
            </w:tr>
          </w:tbl>
          <w:p w:rsidR="00F47708" w:rsidRPr="00F47708" w:rsidRDefault="00F47708" w:rsidP="00F47708">
            <w:pPr>
              <w:spacing w:after="0" w:line="240" w:lineRule="auto"/>
              <w:rPr>
                <w:rFonts w:ascii="Arial" w:eastAsia="Times New Roman" w:hAnsi="Arial" w:cs="Arial"/>
                <w:sz w:val="17"/>
                <w:szCs w:val="17"/>
                <w:lang w:eastAsia="es-PE"/>
              </w:rPr>
            </w:pPr>
          </w:p>
        </w:tc>
      </w:tr>
    </w:tbl>
    <w:p w:rsidR="00F47708" w:rsidRPr="00F47708" w:rsidRDefault="00F47708" w:rsidP="00F47708">
      <w:pPr>
        <w:spacing w:after="0" w:line="240" w:lineRule="auto"/>
        <w:rPr>
          <w:rFonts w:ascii="Times New Roman" w:eastAsia="Times New Roman" w:hAnsi="Times New Roman" w:cs="Times New Roman"/>
          <w:vanish/>
          <w:sz w:val="24"/>
          <w:szCs w:val="24"/>
          <w:lang w:eastAsia="es-PE"/>
        </w:rPr>
      </w:pPr>
    </w:p>
    <w:tbl>
      <w:tblPr>
        <w:tblW w:w="4900" w:type="pct"/>
        <w:tblCellSpacing w:w="0" w:type="dxa"/>
        <w:shd w:val="clear" w:color="auto" w:fill="FFFFFF"/>
        <w:tblCellMar>
          <w:left w:w="0" w:type="dxa"/>
          <w:right w:w="0" w:type="dxa"/>
        </w:tblCellMar>
        <w:tblLook w:val="04A0" w:firstRow="1" w:lastRow="0" w:firstColumn="1" w:lastColumn="0" w:noHBand="0" w:noVBand="1"/>
      </w:tblPr>
      <w:tblGrid>
        <w:gridCol w:w="8661"/>
      </w:tblGrid>
      <w:tr w:rsidR="00F47708" w:rsidRPr="00F47708" w:rsidTr="00F47708">
        <w:trPr>
          <w:tblCellSpacing w:w="0" w:type="dxa"/>
        </w:trPr>
        <w:tc>
          <w:tcPr>
            <w:tcW w:w="5000" w:type="pct"/>
            <w:shd w:val="clear" w:color="auto" w:fill="FFFFFF"/>
            <w:hideMark/>
          </w:tcPr>
          <w:p w:rsidR="00F47708" w:rsidRPr="00F47708" w:rsidRDefault="00F47708" w:rsidP="00F47708">
            <w:pPr>
              <w:spacing w:after="0" w:line="240" w:lineRule="auto"/>
              <w:rPr>
                <w:rFonts w:ascii="Arial" w:eastAsia="Times New Roman" w:hAnsi="Arial" w:cs="Arial"/>
                <w:sz w:val="17"/>
                <w:szCs w:val="17"/>
                <w:lang w:eastAsia="es-PE"/>
              </w:rPr>
            </w:pPr>
            <w:r w:rsidRPr="00F47708">
              <w:rPr>
                <w:rFonts w:ascii="Arial" w:eastAsia="Times New Roman" w:hAnsi="Arial" w:cs="Arial"/>
                <w:sz w:val="17"/>
                <w:szCs w:val="17"/>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bookmarkStart w:id="1" w:name="Articulo1"/>
            <w:r w:rsidRPr="00F47708">
              <w:rPr>
                <w:rFonts w:ascii="Arial" w:eastAsia="Times New Roman" w:hAnsi="Arial" w:cs="Arial"/>
                <w:b/>
                <w:bCs/>
                <w:sz w:val="17"/>
                <w:szCs w:val="17"/>
                <w:lang w:eastAsia="es-PE"/>
              </w:rPr>
              <w:t>Artículo 1</w:t>
            </w:r>
            <w:bookmarkEnd w:id="1"/>
            <w:r w:rsidRPr="00F47708">
              <w:rPr>
                <w:rFonts w:ascii="Arial" w:eastAsia="Times New Roman" w:hAnsi="Arial" w:cs="Arial"/>
                <w:b/>
                <w:bCs/>
                <w:sz w:val="17"/>
                <w:szCs w:val="17"/>
                <w:lang w:eastAsia="es-PE"/>
              </w:rPr>
              <w:t>º.- Objeto de la Ley</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Los procedimientos de evaluación previa están sujetos a silencio positivo, cuando se trate de algunos de los siguientes supuestos:</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a) Solicitudes cuya estimación habilite para el ejercicio de derechos preexistentes o para el desarrollo de actividades económicas que requieran</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autorización previa del Estado, y siempre que no se encuentren contempladas en la Primera Disposición Transitoria, Complementaria y Final.</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b) Recursos destinados a cuestionar la desestimación de una solicitud o actos administrativos anteriores, siempre que no se encuentren contemplados en la Primera Disposición Transitoria. Complementaria y Final. </w:t>
            </w:r>
            <w:r w:rsidRPr="00F47708">
              <w:rPr>
                <w:rFonts w:ascii="Arial" w:eastAsia="Times New Roman" w:hAnsi="Arial" w:cs="Arial"/>
                <w:b/>
                <w:bCs/>
                <w:sz w:val="17"/>
                <w:szCs w:val="17"/>
                <w:lang w:eastAsia="es-PE"/>
              </w:rPr>
              <w:t>(*)</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c) Procedimientos en los cuales la trascendencia de la decisión final no pueda repercutir directamente en administrados distintos del peticionario, mediante la limitación, perjuicio o afectación a sus intereses o derechos legítimos.</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b/>
                <w:bCs/>
                <w:sz w:val="15"/>
                <w:szCs w:val="15"/>
                <w:lang w:eastAsia="es-PE"/>
              </w:rPr>
              <w:t>(*) </w:t>
            </w:r>
            <w:hyperlink r:id="rId4" w:history="1">
              <w:r w:rsidRPr="00F47708">
                <w:rPr>
                  <w:rFonts w:ascii="Verdana" w:eastAsia="Times New Roman" w:hAnsi="Verdana" w:cs="Arial"/>
                  <w:sz w:val="15"/>
                  <w:szCs w:val="15"/>
                  <w:u w:val="single"/>
                  <w:lang w:eastAsia="es-PE"/>
                </w:rPr>
                <w:t xml:space="preserve">Modificado por D. </w:t>
              </w:r>
              <w:proofErr w:type="spellStart"/>
              <w:r w:rsidRPr="00F47708">
                <w:rPr>
                  <w:rFonts w:ascii="Verdana" w:eastAsia="Times New Roman" w:hAnsi="Verdana" w:cs="Arial"/>
                  <w:sz w:val="15"/>
                  <w:szCs w:val="15"/>
                  <w:u w:val="single"/>
                  <w:lang w:eastAsia="es-PE"/>
                </w:rPr>
                <w:t>Leg</w:t>
              </w:r>
              <w:proofErr w:type="spellEnd"/>
              <w:r w:rsidRPr="00F47708">
                <w:rPr>
                  <w:rFonts w:ascii="Verdana" w:eastAsia="Times New Roman" w:hAnsi="Verdana" w:cs="Arial"/>
                  <w:sz w:val="15"/>
                  <w:szCs w:val="15"/>
                  <w:u w:val="single"/>
                  <w:lang w:eastAsia="es-PE"/>
                </w:rPr>
                <w:t>. Nº 1029 del 24.06.2008</w:t>
              </w:r>
            </w:hyperlink>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bookmarkStart w:id="2" w:name="Articulo2"/>
            <w:r w:rsidRPr="00F47708">
              <w:rPr>
                <w:rFonts w:ascii="Arial" w:eastAsia="Times New Roman" w:hAnsi="Arial" w:cs="Arial"/>
                <w:b/>
                <w:bCs/>
                <w:sz w:val="17"/>
                <w:szCs w:val="17"/>
                <w:lang w:eastAsia="es-PE"/>
              </w:rPr>
              <w:t>Artículo 2</w:t>
            </w:r>
            <w:bookmarkEnd w:id="2"/>
            <w:r w:rsidRPr="00F47708">
              <w:rPr>
                <w:rFonts w:ascii="Arial" w:eastAsia="Times New Roman" w:hAnsi="Arial" w:cs="Arial"/>
                <w:b/>
                <w:bCs/>
                <w:sz w:val="17"/>
                <w:szCs w:val="17"/>
                <w:lang w:eastAsia="es-PE"/>
              </w:rPr>
              <w:t>º.- Aprobación automática</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Los procedimientos administrativos, sujetos a silencio administrativo positivo, se considerarán automáticamente aprobados si, vencido el plazo establecido o máximo, la entidad no hubiera emitido el pronunciamiento correspondiente, no siendo necesario expedirse pronunciamiento o documento alguno para que el administrado pueda hacer efectivo su derecho, bajo responsabilidad del funcionario o servidor público que lo requiera.</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Lo dispuesto en el presente artículo no enerva la obligación de la entidad de realizar la fiscalización posterior de los documentos, declaraciones e información presentada por el administrado, conforme a lo dispuesto en el artículo 32º de la Ley Nº 27444, Ley del Procedimiento Administrativo General.</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bookmarkStart w:id="3" w:name="Articulo3"/>
            <w:r w:rsidRPr="00F47708">
              <w:rPr>
                <w:rFonts w:ascii="Arial" w:eastAsia="Times New Roman" w:hAnsi="Arial" w:cs="Arial"/>
                <w:b/>
                <w:bCs/>
                <w:sz w:val="17"/>
                <w:szCs w:val="17"/>
                <w:lang w:eastAsia="es-PE"/>
              </w:rPr>
              <w:t>Artículo 3</w:t>
            </w:r>
            <w:bookmarkEnd w:id="3"/>
            <w:r w:rsidRPr="00F47708">
              <w:rPr>
                <w:rFonts w:ascii="Arial" w:eastAsia="Times New Roman" w:hAnsi="Arial" w:cs="Arial"/>
                <w:b/>
                <w:bCs/>
                <w:sz w:val="17"/>
                <w:szCs w:val="17"/>
                <w:lang w:eastAsia="es-PE"/>
              </w:rPr>
              <w:t>º.- Aprobación del procedimiento</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No obstante lo señalado en el artículo 2º, vencido el plazo para que opere el silencio administrativo positivo en los procedimientos de evaluación previa, regulados en el artículo 1º, sin que la entidad hubiera emitido pronunciamiento sobre lo solicitado, los administrados podrán presentar una Declaración Jurada ante la propia entidad que configuró dicha aprobación ficta, con la finalidad de hacer valer el derecho conferido ante la misma o terceras entidades de la administración, constituyendo el cargo de recepción de dicho documento, prueba suficiente de la resolución aprobatoria ficta de la solicitud o trámite iniciado.</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Lo dispuesto en el primer párrafo será aplicable también al procedimiento de aprobación automática, reemplazando la resolución de aprobación ficta, contenida en la Declaración Jurada, al documento a que hace referencia el artículo 31º párrafo 31.2 de la Ley Nº 27444.</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En el caso que la administración se niegue a recibir la Declaración Jurada a que se refiere el párrafo anterior, el administrado podrá remitirla por conducto notarial, surtiendo los mismos efectos.</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bookmarkStart w:id="4" w:name="Articulo4"/>
            <w:r w:rsidRPr="00F47708">
              <w:rPr>
                <w:rFonts w:ascii="Arial" w:eastAsia="Times New Roman" w:hAnsi="Arial" w:cs="Arial"/>
                <w:b/>
                <w:bCs/>
                <w:sz w:val="17"/>
                <w:szCs w:val="17"/>
                <w:lang w:eastAsia="es-PE"/>
              </w:rPr>
              <w:t>Artículo 4</w:t>
            </w:r>
            <w:bookmarkEnd w:id="4"/>
            <w:r w:rsidRPr="00F47708">
              <w:rPr>
                <w:rFonts w:ascii="Arial" w:eastAsia="Times New Roman" w:hAnsi="Arial" w:cs="Arial"/>
                <w:b/>
                <w:bCs/>
                <w:sz w:val="17"/>
                <w:szCs w:val="17"/>
                <w:lang w:eastAsia="es-PE"/>
              </w:rPr>
              <w:t>º.- Responsabilidad del funcionario público</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Los funcionarios y servidores públicos que, injustificadamente, se nieguen a reconocer la eficacia del derecho conferido al administrado al haber operado a su favor el silencio administrativo positivo de un procedimiento que se sigue ante la misma entidad, incurrirán en falta administrativa sancionable, conforme lo establecido en el artículo 239º de la Ley Nº 27444, sin perjuicio de las responsabilidades civiles y penales a que hubiera lugar.</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Lo dispuesto en el primer párrafo también es aplicable a los funcionarios y servidores públicos, de cualquier entidad de la Administración Pública, que se nieguen injustificadamente a recibir o cumplir la resolución aprobatoria ficta derivada de la Declaración Jurada a que hace referencia el artículo 3º, dentro de un procedimiento que se sigue ante otra entidad de la administración.</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bookmarkStart w:id="5" w:name="Articulo5"/>
            <w:r w:rsidRPr="00F47708">
              <w:rPr>
                <w:rFonts w:ascii="Arial" w:eastAsia="Times New Roman" w:hAnsi="Arial" w:cs="Arial"/>
                <w:b/>
                <w:bCs/>
                <w:sz w:val="17"/>
                <w:szCs w:val="17"/>
                <w:lang w:eastAsia="es-PE"/>
              </w:rPr>
              <w:t>Artículo 5</w:t>
            </w:r>
            <w:bookmarkEnd w:id="5"/>
            <w:r w:rsidRPr="00F47708">
              <w:rPr>
                <w:rFonts w:ascii="Arial" w:eastAsia="Times New Roman" w:hAnsi="Arial" w:cs="Arial"/>
                <w:b/>
                <w:bCs/>
                <w:sz w:val="17"/>
                <w:szCs w:val="17"/>
                <w:lang w:eastAsia="es-PE"/>
              </w:rPr>
              <w:t>º.- Denuncia del funcionario ante el órgano de control interno</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Los administrados podrán interponer, individualmente o en conjunto, el recurso de queja a que se refiere el artículo 158º de la Ley Nº 27444, o presentar una denuncia al órgano de control interno de la entidad respectiva, sin perjuicio de las acciones civiles y penales a que hubiera lugar, en el caso de que el funcionario o servidor público incumpla lo establecido en la presente Ley.</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bookmarkStart w:id="6" w:name="Articulo6"/>
            <w:r w:rsidRPr="00F47708">
              <w:rPr>
                <w:rFonts w:ascii="Arial" w:eastAsia="Times New Roman" w:hAnsi="Arial" w:cs="Arial"/>
                <w:b/>
                <w:bCs/>
                <w:sz w:val="17"/>
                <w:szCs w:val="17"/>
                <w:lang w:eastAsia="es-PE"/>
              </w:rPr>
              <w:lastRenderedPageBreak/>
              <w:t>Artículo 6</w:t>
            </w:r>
            <w:bookmarkEnd w:id="6"/>
            <w:r w:rsidRPr="00F47708">
              <w:rPr>
                <w:rFonts w:ascii="Arial" w:eastAsia="Times New Roman" w:hAnsi="Arial" w:cs="Arial"/>
                <w:b/>
                <w:bCs/>
                <w:sz w:val="17"/>
                <w:szCs w:val="17"/>
                <w:lang w:eastAsia="es-PE"/>
              </w:rPr>
              <w:t>º.- Procedimiento ante el órgano de control interno</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Las denuncias ante el órgano de control interno de las entidades de la Administración Pública respectivas, que se presenten contra los funcionarios o servidores públicos que incumplan lo establecido en la presente Ley, serán puestas en conocimiento del público en general a través de la página web de la entidad o publicadas en el Diario Oficial "El Peruano", cuando la resolución que pone fin al procedimiento disciplinario quede consentida.</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bookmarkStart w:id="7" w:name="Articulo7"/>
            <w:r w:rsidRPr="00F47708">
              <w:rPr>
                <w:rFonts w:ascii="Arial" w:eastAsia="Times New Roman" w:hAnsi="Arial" w:cs="Arial"/>
                <w:b/>
                <w:bCs/>
                <w:sz w:val="17"/>
                <w:szCs w:val="17"/>
                <w:lang w:eastAsia="es-PE"/>
              </w:rPr>
              <w:t>Artículo 7</w:t>
            </w:r>
            <w:bookmarkEnd w:id="7"/>
            <w:r w:rsidRPr="00F47708">
              <w:rPr>
                <w:rFonts w:ascii="Arial" w:eastAsia="Times New Roman" w:hAnsi="Arial" w:cs="Arial"/>
                <w:b/>
                <w:bCs/>
                <w:sz w:val="17"/>
                <w:szCs w:val="17"/>
                <w:lang w:eastAsia="es-PE"/>
              </w:rPr>
              <w:t>º.- Responsabilidad del administrado</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Los administrados que hagan uso indebido de la Declaración Jurada, señalada en el artículo 3º, declarando información falsa o errónea, estarán en la obligación de resarcir los daños ocasionados y serán denunciados penalmente conforme a la legislación de la materia por la entidad de la Administración Pública afectada, sin perjuicio de lo dispuesto en el artículo 32º, párrafo 32.3 de la Ley Nº 27444.</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bookmarkStart w:id="8" w:name="Articulo8"/>
            <w:r w:rsidRPr="00F47708">
              <w:rPr>
                <w:rFonts w:ascii="Arial" w:eastAsia="Times New Roman" w:hAnsi="Arial" w:cs="Arial"/>
                <w:b/>
                <w:bCs/>
                <w:sz w:val="17"/>
                <w:szCs w:val="17"/>
                <w:lang w:eastAsia="es-PE"/>
              </w:rPr>
              <w:t>Artículo 8</w:t>
            </w:r>
            <w:bookmarkEnd w:id="8"/>
            <w:r w:rsidRPr="00F47708">
              <w:rPr>
                <w:rFonts w:ascii="Arial" w:eastAsia="Times New Roman" w:hAnsi="Arial" w:cs="Arial"/>
                <w:b/>
                <w:bCs/>
                <w:sz w:val="17"/>
                <w:szCs w:val="17"/>
                <w:lang w:eastAsia="es-PE"/>
              </w:rPr>
              <w:t>º.- Seguimiento de los procedimientos administrativos</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El órgano de control interno de las entidades de la Administración Pública supervisará el cumplimiento de los plazos, requisitos y procedimientos a fin de que sean tramitados conforme al Texto Único de Procedimientos Administrativos – TUPA correspondiente. Asimismo, el órgano de control interno está en la obligación de elevar al Titular del Pliego un informe mensual sobre el estado de los procedimientos administrativos iniciados, así como sobre las responsabilidades en que hubieran incurrido los funcionarios o servidores públicos que incumplan con las normas de la Ley del Procedimiento Administrativo General, la presente Ley y aquellos que hayan sido denunciados por los administrados.</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bookmarkStart w:id="9" w:name="Articulo9"/>
            <w:r w:rsidRPr="00F47708">
              <w:rPr>
                <w:rFonts w:ascii="Arial" w:eastAsia="Times New Roman" w:hAnsi="Arial" w:cs="Arial"/>
                <w:b/>
                <w:bCs/>
                <w:sz w:val="17"/>
                <w:szCs w:val="17"/>
                <w:lang w:eastAsia="es-PE"/>
              </w:rPr>
              <w:t>Artículo 9</w:t>
            </w:r>
            <w:bookmarkEnd w:id="9"/>
            <w:r w:rsidRPr="00F47708">
              <w:rPr>
                <w:rFonts w:ascii="Arial" w:eastAsia="Times New Roman" w:hAnsi="Arial" w:cs="Arial"/>
                <w:b/>
                <w:bCs/>
                <w:sz w:val="17"/>
                <w:szCs w:val="17"/>
                <w:lang w:eastAsia="es-PE"/>
              </w:rPr>
              <w:t>º.- Inexigibilidad de requisitos no establecidos en el TUPA</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De conformidad con lo dispuesto en el artículo 36º, párrafo 36.2 de la Ley Nº 27444, solamente podrá exigirse a los administrados el cumplimiento de los procedimientos o requisitos administrativos que se encuentren previamente establecidos en el Texto Único de Procedimientos Administrativos – TUPA, no pudiendo requerirse procedimiento, trámite, requisito u otra información, documentación o pago que no consten en dicho Texto, bajo responsabilidad del funcionario o servidor público que los exija, aplicándosele las sanciones establecidas en los artículos 4º y 5º.</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 xml:space="preserve">En un plazo de ciento ochenta (180) días, computados a partir de la publicación de la presente Ley, todas las entidades a que se refiere el artículo I del Título Preliminar de la Ley Nº 27444 deberán justificar ante la Presidencia del Consejo de Ministros todos los procedimientos contenidos en sus TUPA. De no mediar justificación </w:t>
            </w:r>
            <w:proofErr w:type="gramStart"/>
            <w:r w:rsidRPr="00F47708">
              <w:rPr>
                <w:rFonts w:ascii="Arial" w:eastAsia="Times New Roman" w:hAnsi="Arial" w:cs="Arial"/>
                <w:sz w:val="17"/>
                <w:szCs w:val="17"/>
                <w:lang w:eastAsia="es-PE"/>
              </w:rPr>
              <w:t>alguna dichos procedimientos</w:t>
            </w:r>
            <w:proofErr w:type="gramEnd"/>
            <w:r w:rsidRPr="00F47708">
              <w:rPr>
                <w:rFonts w:ascii="Arial" w:eastAsia="Times New Roman" w:hAnsi="Arial" w:cs="Arial"/>
                <w:sz w:val="17"/>
                <w:szCs w:val="17"/>
                <w:lang w:eastAsia="es-PE"/>
              </w:rPr>
              <w:t xml:space="preserve"> quedarán sin efecto de pleno derecho.</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jc w:val="center"/>
              <w:rPr>
                <w:rFonts w:ascii="Arial" w:eastAsia="Times New Roman" w:hAnsi="Arial" w:cs="Arial"/>
                <w:sz w:val="17"/>
                <w:szCs w:val="17"/>
                <w:lang w:eastAsia="es-PE"/>
              </w:rPr>
            </w:pPr>
            <w:bookmarkStart w:id="10" w:name="DISPOSICIONESTRANSITORIASCOMPLEMENTARIAS"/>
            <w:r w:rsidRPr="00F47708">
              <w:rPr>
                <w:rFonts w:ascii="Arial" w:eastAsia="Times New Roman" w:hAnsi="Arial" w:cs="Arial"/>
                <w:b/>
                <w:bCs/>
                <w:sz w:val="17"/>
                <w:szCs w:val="17"/>
                <w:lang w:eastAsia="es-PE"/>
              </w:rPr>
              <w:t>DISPOSICIONES TRANSITORIAS,</w:t>
            </w:r>
            <w:bookmarkEnd w:id="10"/>
            <w:r w:rsidRPr="00F47708">
              <w:rPr>
                <w:rFonts w:ascii="Arial" w:eastAsia="Times New Roman" w:hAnsi="Arial" w:cs="Arial"/>
                <w:sz w:val="17"/>
                <w:szCs w:val="17"/>
                <w:lang w:eastAsia="es-PE"/>
              </w:rPr>
              <w:t> </w:t>
            </w:r>
            <w:r w:rsidRPr="00F47708">
              <w:rPr>
                <w:rFonts w:ascii="Arial" w:eastAsia="Times New Roman" w:hAnsi="Arial" w:cs="Arial"/>
                <w:b/>
                <w:bCs/>
                <w:sz w:val="17"/>
                <w:szCs w:val="17"/>
                <w:lang w:eastAsia="es-PE"/>
              </w:rPr>
              <w:t>COMPLEMENTARIAS Y FINALES</w:t>
            </w:r>
          </w:p>
          <w:p w:rsidR="00F47708" w:rsidRPr="00F47708" w:rsidRDefault="00F47708" w:rsidP="00F47708">
            <w:pPr>
              <w:spacing w:after="0" w:line="240" w:lineRule="atLeast"/>
              <w:rPr>
                <w:rFonts w:ascii="Times New Roman" w:eastAsia="Times New Roman" w:hAnsi="Times New Roman" w:cs="Times New Roman"/>
                <w:b/>
                <w:bCs/>
                <w:i/>
                <w:iCs/>
                <w:sz w:val="24"/>
                <w:szCs w:val="24"/>
                <w:lang w:eastAsia="es-PE"/>
              </w:rPr>
            </w:pPr>
            <w:r w:rsidRPr="00F47708">
              <w:rPr>
                <w:rFonts w:ascii="Times New Roman" w:eastAsia="Times New Roman" w:hAnsi="Times New Roman" w:cs="Times New Roman"/>
                <w:b/>
                <w:bCs/>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proofErr w:type="gramStart"/>
            <w:r w:rsidRPr="00F47708">
              <w:rPr>
                <w:rFonts w:ascii="Arial" w:eastAsia="Times New Roman" w:hAnsi="Arial" w:cs="Arial"/>
                <w:b/>
                <w:bCs/>
                <w:sz w:val="17"/>
                <w:szCs w:val="17"/>
                <w:lang w:eastAsia="es-PE"/>
              </w:rPr>
              <w:t>PRIMERA.-</w:t>
            </w:r>
            <w:proofErr w:type="gramEnd"/>
            <w:r w:rsidRPr="00F47708">
              <w:rPr>
                <w:rFonts w:ascii="Arial" w:eastAsia="Times New Roman" w:hAnsi="Arial" w:cs="Arial"/>
                <w:b/>
                <w:bCs/>
                <w:sz w:val="17"/>
                <w:szCs w:val="17"/>
                <w:lang w:eastAsia="es-PE"/>
              </w:rPr>
              <w:t xml:space="preserve"> Silencio administrativo negativo</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Excepcionalmente, el silencio administrativo negativo será aplicable en aquellos casos en los que se afecte significativamente el interés público, incidiendo en la salud, el medio ambiente, los recursos naturales, la seguridad ciudadana, el sistema financiero y de seguros, el mercado de valores, la defensa comercial; la defensa nacional y el patrimonio histórico cultural de la nación, en aquellos procedimientos trilaterales y en los que generen obligación de dar o hacer del Estado; y autorizaciones para operar casinos de juego y máquinas tragamonedas.</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Asimismo, será de aplicación para aquellos procedimientos por los cuales se transfiera facultades de la administración pública, y en aquellos procedimientos de inscripción registral.</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En materia tributaria y aduanera, el silencio administrativo se regirá por sus leyes y normas especiales. Tratándose de procedimientos administrativos que tengan incidencia en la determinación de la obligación tributaria o aduanera, se aplicará el segundo párrafo del artículo 163º del Código Tributario.</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proofErr w:type="gramStart"/>
            <w:r w:rsidRPr="00F47708">
              <w:rPr>
                <w:rFonts w:ascii="Arial" w:eastAsia="Times New Roman" w:hAnsi="Arial" w:cs="Arial"/>
                <w:b/>
                <w:bCs/>
                <w:sz w:val="17"/>
                <w:szCs w:val="17"/>
                <w:lang w:eastAsia="es-PE"/>
              </w:rPr>
              <w:t>SEGUNDA.-</w:t>
            </w:r>
            <w:proofErr w:type="gramEnd"/>
            <w:r w:rsidRPr="00F47708">
              <w:rPr>
                <w:rFonts w:ascii="Arial" w:eastAsia="Times New Roman" w:hAnsi="Arial" w:cs="Arial"/>
                <w:b/>
                <w:bCs/>
                <w:sz w:val="17"/>
                <w:szCs w:val="17"/>
                <w:lang w:eastAsia="es-PE"/>
              </w:rPr>
              <w:t xml:space="preserve"> Fuerza de Ley</w:t>
            </w:r>
          </w:p>
          <w:p w:rsidR="00F47708" w:rsidRPr="00F47708" w:rsidRDefault="00F47708" w:rsidP="00F47708">
            <w:pPr>
              <w:spacing w:after="0" w:line="165" w:lineRule="atLeast"/>
              <w:rPr>
                <w:rFonts w:ascii="Arial" w:eastAsia="Times New Roman" w:hAnsi="Arial" w:cs="Arial"/>
                <w:sz w:val="17"/>
                <w:szCs w:val="17"/>
                <w:lang w:eastAsia="es-PE"/>
              </w:rPr>
            </w:pPr>
            <w:proofErr w:type="spellStart"/>
            <w:r w:rsidRPr="00F47708">
              <w:rPr>
                <w:rFonts w:ascii="Arial" w:eastAsia="Times New Roman" w:hAnsi="Arial" w:cs="Arial"/>
                <w:sz w:val="17"/>
                <w:szCs w:val="17"/>
                <w:lang w:eastAsia="es-PE"/>
              </w:rPr>
              <w:t>Otórgase</w:t>
            </w:r>
            <w:proofErr w:type="spellEnd"/>
            <w:r w:rsidRPr="00F47708">
              <w:rPr>
                <w:rFonts w:ascii="Arial" w:eastAsia="Times New Roman" w:hAnsi="Arial" w:cs="Arial"/>
                <w:sz w:val="17"/>
                <w:szCs w:val="17"/>
                <w:lang w:eastAsia="es-PE"/>
              </w:rPr>
              <w:t xml:space="preserve"> fuerza de Ley a la "Directiva para la atención en 24 horas de actos inscribibles que tienen impacto directo en el desarrollo económico del país", aprobada por Resolución de la Superintendencia Nacional de los Registros Públicos Nº 261-2005-SUNARP-SN.</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proofErr w:type="gramStart"/>
            <w:r w:rsidRPr="00F47708">
              <w:rPr>
                <w:rFonts w:ascii="Arial" w:eastAsia="Times New Roman" w:hAnsi="Arial" w:cs="Arial"/>
                <w:b/>
                <w:bCs/>
                <w:sz w:val="17"/>
                <w:szCs w:val="17"/>
                <w:lang w:eastAsia="es-PE"/>
              </w:rPr>
              <w:t>TERCERA.-</w:t>
            </w:r>
            <w:proofErr w:type="gramEnd"/>
            <w:r w:rsidRPr="00F47708">
              <w:rPr>
                <w:rFonts w:ascii="Arial" w:eastAsia="Times New Roman" w:hAnsi="Arial" w:cs="Arial"/>
                <w:b/>
                <w:bCs/>
                <w:sz w:val="17"/>
                <w:szCs w:val="17"/>
                <w:lang w:eastAsia="es-PE"/>
              </w:rPr>
              <w:t xml:space="preserve"> Procedimientos especiales</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Los procedimientos de petición graciable y de consulta se rigen por su regulación específica.</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proofErr w:type="gramStart"/>
            <w:r w:rsidRPr="00F47708">
              <w:rPr>
                <w:rFonts w:ascii="Arial" w:eastAsia="Times New Roman" w:hAnsi="Arial" w:cs="Arial"/>
                <w:b/>
                <w:bCs/>
                <w:sz w:val="17"/>
                <w:szCs w:val="17"/>
                <w:lang w:eastAsia="es-PE"/>
              </w:rPr>
              <w:t>CUARTA.-</w:t>
            </w:r>
            <w:proofErr w:type="gramEnd"/>
            <w:r w:rsidRPr="00F47708">
              <w:rPr>
                <w:rFonts w:ascii="Arial" w:eastAsia="Times New Roman" w:hAnsi="Arial" w:cs="Arial"/>
                <w:b/>
                <w:bCs/>
                <w:sz w:val="17"/>
                <w:szCs w:val="17"/>
                <w:lang w:eastAsia="es-PE"/>
              </w:rPr>
              <w:t xml:space="preserve"> Declaración Jurada</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En el plazo máximo de quince (15) días de publicada la presente Ley, mediante decreto supremo refrendado por el Presidente del Consejo de Ministros, se aprobará el formato de la Declaración Jurada a que hace referencia el artículo 3º.</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proofErr w:type="gramStart"/>
            <w:r w:rsidRPr="00F47708">
              <w:rPr>
                <w:rFonts w:ascii="Arial" w:eastAsia="Times New Roman" w:hAnsi="Arial" w:cs="Arial"/>
                <w:b/>
                <w:bCs/>
                <w:sz w:val="17"/>
                <w:szCs w:val="17"/>
                <w:lang w:eastAsia="es-PE"/>
              </w:rPr>
              <w:t>QUINTA.-</w:t>
            </w:r>
            <w:proofErr w:type="gramEnd"/>
            <w:r w:rsidRPr="00F47708">
              <w:rPr>
                <w:rFonts w:ascii="Arial" w:eastAsia="Times New Roman" w:hAnsi="Arial" w:cs="Arial"/>
                <w:b/>
                <w:bCs/>
                <w:sz w:val="17"/>
                <w:szCs w:val="17"/>
                <w:lang w:eastAsia="es-PE"/>
              </w:rPr>
              <w:t xml:space="preserve"> Regulación transitoria</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lastRenderedPageBreak/>
              <w:t>Las disposiciones de la presente Ley, que reconozcan derechos o facultades a los administrados frente a la administración, son aplicables a los procedimientos en trámite iniciados antes de su entrada en vigencia.</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proofErr w:type="gramStart"/>
            <w:r w:rsidRPr="00F47708">
              <w:rPr>
                <w:rFonts w:ascii="Arial" w:eastAsia="Times New Roman" w:hAnsi="Arial" w:cs="Arial"/>
                <w:b/>
                <w:bCs/>
                <w:sz w:val="17"/>
                <w:szCs w:val="17"/>
                <w:lang w:eastAsia="es-PE"/>
              </w:rPr>
              <w:t>SEXTA.-</w:t>
            </w:r>
            <w:proofErr w:type="gramEnd"/>
            <w:r w:rsidRPr="00F47708">
              <w:rPr>
                <w:rFonts w:ascii="Arial" w:eastAsia="Times New Roman" w:hAnsi="Arial" w:cs="Arial"/>
                <w:b/>
                <w:bCs/>
                <w:sz w:val="17"/>
                <w:szCs w:val="17"/>
                <w:lang w:eastAsia="es-PE"/>
              </w:rPr>
              <w:t xml:space="preserve"> Difusión de la presente Ley</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Las entidades de la Administración Pública, bajo responsabilidad de su titular, deberán realizar las acciones de difusión, información y capacitación del contenido y alcances de la presente Ley a favor de su personal y del público usuario. Dichas acciones podrán ejecutarse a través de Internet, impresos, afiches u otros medios que aseguren su adecuada difusión. El costo de las acciones de información y difusión no se trasladará al público usuario, y asimismo se sujetará a las normas de austeridad y racionalidad en el gasto público.</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Las correspondientes dependencias de las entidades de la Administración Pública, en un plazo no mayor a los tres (3) meses de publicada la presente Ley, deberán informar al Titular del Pliego sobre las acciones realizadas para el cumplimiento de lo dispuesto en el primer párrafo.</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proofErr w:type="gramStart"/>
            <w:r w:rsidRPr="00F47708">
              <w:rPr>
                <w:rFonts w:ascii="Arial" w:eastAsia="Times New Roman" w:hAnsi="Arial" w:cs="Arial"/>
                <w:b/>
                <w:bCs/>
                <w:sz w:val="17"/>
                <w:szCs w:val="17"/>
                <w:lang w:eastAsia="es-PE"/>
              </w:rPr>
              <w:t>SÉTIMA.-</w:t>
            </w:r>
            <w:proofErr w:type="gramEnd"/>
            <w:r w:rsidRPr="00F47708">
              <w:rPr>
                <w:rFonts w:ascii="Arial" w:eastAsia="Times New Roman" w:hAnsi="Arial" w:cs="Arial"/>
                <w:b/>
                <w:bCs/>
                <w:sz w:val="17"/>
                <w:szCs w:val="17"/>
                <w:lang w:eastAsia="es-PE"/>
              </w:rPr>
              <w:t xml:space="preserve"> Adecuación de los procedimientos</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En un plazo de ciento ochenta (180) días, computados a partir de la publicación de la presente Ley, las entidades a que se refiere el artículo I del Título Preliminar de la Ley Nº 27444 deberán justificar, ante la Presidencia del Consejo de Ministros, aquellos procedimientos que requieren la aplicación del silencio administrativo negativo por afectar significativamente el interés público, conforme a lo señalado en el literal a) del artículo 1º de la presente Ley.</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En igual plazo, las entidades deberán calificar los procedimientos administrativos considerando estrictamente lo establecido en la presente Ley, así como lo señalado en el artículo 31º de la Ley Nº 27444, bajo responsabilidad, a fin de permitir que los administrados puedan satisfacer o ejercer sus intereses o derechos.</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Vencido el plazo, la Presidencia del Consejo de Ministros publicará una lista de las entidades que cumplieron o no con remitir la justificación a que se refiere el primer párrafo, señalando la procedencia o no de la misma. En los casos de improcedencia las entidades ajustarán sus procedimientos en un plazo adicional de quince (15) días, bajo responsabilidad.</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De manera excepcional, con la justificación debida y por decreto supremo, podrán señalarse los procedimientos administrativos especiales que requieran una tramitación distinta a la prevista en la presente Ley. Para tal efecto se especificarán la naturaleza del procedimiento, su denominación, la justificación de su excepción y su nueva configuración en el TUPA correspondiente.</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proofErr w:type="gramStart"/>
            <w:r w:rsidRPr="00F47708">
              <w:rPr>
                <w:rFonts w:ascii="Arial" w:eastAsia="Times New Roman" w:hAnsi="Arial" w:cs="Arial"/>
                <w:b/>
                <w:bCs/>
                <w:sz w:val="17"/>
                <w:szCs w:val="17"/>
                <w:lang w:eastAsia="es-PE"/>
              </w:rPr>
              <w:t>OCTAVA.-</w:t>
            </w:r>
            <w:proofErr w:type="gramEnd"/>
            <w:r w:rsidRPr="00F47708">
              <w:rPr>
                <w:rFonts w:ascii="Arial" w:eastAsia="Times New Roman" w:hAnsi="Arial" w:cs="Arial"/>
                <w:b/>
                <w:bCs/>
                <w:sz w:val="17"/>
                <w:szCs w:val="17"/>
                <w:lang w:eastAsia="es-PE"/>
              </w:rPr>
              <w:t xml:space="preserve"> Adecuación por parte del Congreso de la República</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El Congreso de la República, en el marco de su autonomía, en un plazo de ciento ochenta (180) días contados a partir de la publicación de la presente Ley, aprueba su Texto Único de Procedimientos Administrativos – TUPA, estableciendo los procedimientos sujetos al silencio administrativo negativo o positivo, según corresponda.</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proofErr w:type="gramStart"/>
            <w:r w:rsidRPr="00F47708">
              <w:rPr>
                <w:rFonts w:ascii="Arial" w:eastAsia="Times New Roman" w:hAnsi="Arial" w:cs="Arial"/>
                <w:b/>
                <w:bCs/>
                <w:sz w:val="17"/>
                <w:szCs w:val="17"/>
                <w:lang w:eastAsia="es-PE"/>
              </w:rPr>
              <w:t>NOVENA.-</w:t>
            </w:r>
            <w:proofErr w:type="gramEnd"/>
            <w:r w:rsidRPr="00F47708">
              <w:rPr>
                <w:rFonts w:ascii="Arial" w:eastAsia="Times New Roman" w:hAnsi="Arial" w:cs="Arial"/>
                <w:b/>
                <w:bCs/>
                <w:sz w:val="17"/>
                <w:szCs w:val="17"/>
                <w:lang w:eastAsia="es-PE"/>
              </w:rPr>
              <w:t xml:space="preserve"> Normas derogatorias</w:t>
            </w:r>
          </w:p>
          <w:p w:rsidR="00F47708" w:rsidRPr="00F47708" w:rsidRDefault="00F47708" w:rsidP="00F47708">
            <w:pPr>
              <w:spacing w:after="0" w:line="165" w:lineRule="atLeast"/>
              <w:rPr>
                <w:rFonts w:ascii="Arial" w:eastAsia="Times New Roman" w:hAnsi="Arial" w:cs="Arial"/>
                <w:sz w:val="17"/>
                <w:szCs w:val="17"/>
                <w:lang w:eastAsia="es-PE"/>
              </w:rPr>
            </w:pPr>
            <w:proofErr w:type="spellStart"/>
            <w:r w:rsidRPr="00F47708">
              <w:rPr>
                <w:rFonts w:ascii="Arial" w:eastAsia="Times New Roman" w:hAnsi="Arial" w:cs="Arial"/>
                <w:sz w:val="17"/>
                <w:szCs w:val="17"/>
                <w:lang w:eastAsia="es-PE"/>
              </w:rPr>
              <w:t>Deróganse</w:t>
            </w:r>
            <w:proofErr w:type="spellEnd"/>
            <w:r w:rsidRPr="00F47708">
              <w:rPr>
                <w:rFonts w:ascii="Arial" w:eastAsia="Times New Roman" w:hAnsi="Arial" w:cs="Arial"/>
                <w:sz w:val="17"/>
                <w:szCs w:val="17"/>
                <w:lang w:eastAsia="es-PE"/>
              </w:rPr>
              <w:t xml:space="preserve"> aquellas disposiciones sectoriales que establecen el silencio administrativo negativo contraviniendo lo señalado en el literal a) del artículo 1º; asimismo, </w:t>
            </w:r>
            <w:proofErr w:type="spellStart"/>
            <w:r w:rsidRPr="00F47708">
              <w:rPr>
                <w:rFonts w:ascii="Arial" w:eastAsia="Times New Roman" w:hAnsi="Arial" w:cs="Arial"/>
                <w:sz w:val="17"/>
                <w:szCs w:val="17"/>
                <w:lang w:eastAsia="es-PE"/>
              </w:rPr>
              <w:t>deróganse</w:t>
            </w:r>
            <w:proofErr w:type="spellEnd"/>
            <w:r w:rsidRPr="00F47708">
              <w:rPr>
                <w:rFonts w:ascii="Arial" w:eastAsia="Times New Roman" w:hAnsi="Arial" w:cs="Arial"/>
                <w:sz w:val="17"/>
                <w:szCs w:val="17"/>
                <w:lang w:eastAsia="es-PE"/>
              </w:rPr>
              <w:t xml:space="preserve"> los artículos 33º y 34º de la Ley Nº 27444.</w:t>
            </w:r>
          </w:p>
          <w:p w:rsidR="00F47708" w:rsidRPr="00F47708" w:rsidRDefault="00F47708" w:rsidP="00F47708">
            <w:pPr>
              <w:spacing w:after="0" w:line="240" w:lineRule="atLeast"/>
              <w:rPr>
                <w:rFonts w:ascii="Times New Roman" w:eastAsia="Times New Roman" w:hAnsi="Times New Roman" w:cs="Times New Roman"/>
                <w:i/>
                <w:iCs/>
                <w:sz w:val="24"/>
                <w:szCs w:val="24"/>
                <w:lang w:eastAsia="es-PE"/>
              </w:rPr>
            </w:pPr>
            <w:r w:rsidRPr="00F47708">
              <w:rPr>
                <w:rFonts w:ascii="Times New Roman" w:eastAsia="Times New Roman" w:hAnsi="Times New Roman" w:cs="Times New Roman"/>
                <w:i/>
                <w:iCs/>
                <w:sz w:val="24"/>
                <w:szCs w:val="24"/>
                <w:lang w:eastAsia="es-PE"/>
              </w:rPr>
              <w:t> </w:t>
            </w:r>
          </w:p>
          <w:p w:rsidR="00F47708" w:rsidRPr="00F47708" w:rsidRDefault="00F47708" w:rsidP="00F47708">
            <w:pPr>
              <w:spacing w:after="0" w:line="165" w:lineRule="atLeast"/>
              <w:rPr>
                <w:rFonts w:ascii="Arial" w:eastAsia="Times New Roman" w:hAnsi="Arial" w:cs="Arial"/>
                <w:sz w:val="17"/>
                <w:szCs w:val="17"/>
                <w:lang w:eastAsia="es-PE"/>
              </w:rPr>
            </w:pPr>
            <w:proofErr w:type="gramStart"/>
            <w:r w:rsidRPr="00F47708">
              <w:rPr>
                <w:rFonts w:ascii="Arial" w:eastAsia="Times New Roman" w:hAnsi="Arial" w:cs="Arial"/>
                <w:b/>
                <w:bCs/>
                <w:sz w:val="17"/>
                <w:szCs w:val="17"/>
                <w:lang w:eastAsia="es-PE"/>
              </w:rPr>
              <w:t>DÉCIMA.-</w:t>
            </w:r>
            <w:proofErr w:type="gramEnd"/>
            <w:r w:rsidRPr="00F47708">
              <w:rPr>
                <w:rFonts w:ascii="Arial" w:eastAsia="Times New Roman" w:hAnsi="Arial" w:cs="Arial"/>
                <w:b/>
                <w:bCs/>
                <w:sz w:val="17"/>
                <w:szCs w:val="17"/>
                <w:lang w:eastAsia="es-PE"/>
              </w:rPr>
              <w:t xml:space="preserve"> Vigencia de la Ley</w:t>
            </w:r>
          </w:p>
          <w:p w:rsidR="00F47708" w:rsidRPr="00F47708" w:rsidRDefault="00F47708" w:rsidP="00F47708">
            <w:pPr>
              <w:spacing w:after="0" w:line="165" w:lineRule="atLeast"/>
              <w:rPr>
                <w:rFonts w:ascii="Arial" w:eastAsia="Times New Roman" w:hAnsi="Arial" w:cs="Arial"/>
                <w:sz w:val="17"/>
                <w:szCs w:val="17"/>
                <w:lang w:eastAsia="es-PE"/>
              </w:rPr>
            </w:pPr>
            <w:r w:rsidRPr="00F47708">
              <w:rPr>
                <w:rFonts w:ascii="Arial" w:eastAsia="Times New Roman" w:hAnsi="Arial" w:cs="Arial"/>
                <w:sz w:val="17"/>
                <w:szCs w:val="17"/>
                <w:lang w:eastAsia="es-PE"/>
              </w:rPr>
              <w:t xml:space="preserve">La presente Ley entra en vigencia, indefectiblemente, </w:t>
            </w:r>
            <w:proofErr w:type="gramStart"/>
            <w:r w:rsidRPr="00F47708">
              <w:rPr>
                <w:rFonts w:ascii="Arial" w:eastAsia="Times New Roman" w:hAnsi="Arial" w:cs="Arial"/>
                <w:sz w:val="17"/>
                <w:szCs w:val="17"/>
                <w:lang w:eastAsia="es-PE"/>
              </w:rPr>
              <w:t>a los ciento</w:t>
            </w:r>
            <w:proofErr w:type="gramEnd"/>
            <w:r w:rsidRPr="00F47708">
              <w:rPr>
                <w:rFonts w:ascii="Arial" w:eastAsia="Times New Roman" w:hAnsi="Arial" w:cs="Arial"/>
                <w:sz w:val="17"/>
                <w:szCs w:val="17"/>
                <w:lang w:eastAsia="es-PE"/>
              </w:rPr>
              <w:t xml:space="preserve"> ochenta (180) días calendario, contados a partir de su publicación en el Diario Oficial "El Peruano", efectúen o no, las entidades, la justificación prevista en el artículo 9º y en la Sétima Disposición Transitoria, Complementaria y Final, sin perjuicio de la responsabilidad en la que incurran los funcionarios competentes por el incumplimiento de las citadas disposiciones.</w:t>
            </w:r>
          </w:p>
        </w:tc>
      </w:tr>
    </w:tbl>
    <w:p w:rsidR="00F47708" w:rsidRPr="00F47708" w:rsidRDefault="00F47708"/>
    <w:sectPr w:rsidR="00F47708" w:rsidRPr="00F477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08"/>
    <w:rsid w:val="00450D16"/>
    <w:rsid w:val="00F24148"/>
    <w:rsid w:val="00F477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A917"/>
  <w15:chartTrackingRefBased/>
  <w15:docId w15:val="{9F8F8943-0C00-49FA-B44D-6ED4E471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770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F477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nat.gob.pe/legislacion/procedim/normasadua/normasociada/gja-00.12/ctrlCambios/cc-gja-00.12-1029-24.06.2008.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2018</Words>
  <Characters>11105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Arana</dc:creator>
  <cp:keywords/>
  <dc:description/>
  <cp:lastModifiedBy>Alexandra Arana</cp:lastModifiedBy>
  <cp:revision>1</cp:revision>
  <dcterms:created xsi:type="dcterms:W3CDTF">2018-02-19T21:37:00Z</dcterms:created>
  <dcterms:modified xsi:type="dcterms:W3CDTF">2018-02-19T21:40:00Z</dcterms:modified>
</cp:coreProperties>
</file>